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F168A" w14:textId="0F105100" w:rsidR="0013322B" w:rsidRDefault="0013322B"/>
    <w:p w14:paraId="00002E92" w14:textId="16971E54" w:rsidR="0013322B" w:rsidRDefault="0013322B"/>
    <w:p w14:paraId="3E732820" w14:textId="62D72286" w:rsidR="0013322B" w:rsidRDefault="0013322B"/>
    <w:p w14:paraId="725452C8" w14:textId="77777777" w:rsidR="0013322B" w:rsidRDefault="001332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3322B" w14:paraId="444161C0" w14:textId="77777777" w:rsidTr="0013322B">
        <w:tc>
          <w:tcPr>
            <w:tcW w:w="9922" w:type="dxa"/>
            <w:gridSpan w:val="2"/>
          </w:tcPr>
          <w:p w14:paraId="1A30267E" w14:textId="2CDC59D3" w:rsidR="00EE2C43" w:rsidRPr="0013322B" w:rsidRDefault="00EE2C43" w:rsidP="003C7388">
            <w:pPr>
              <w:spacing w:before="120" w:after="240"/>
              <w:rPr>
                <w:rFonts w:ascii="Proxima Nova Rg" w:hAnsi="Proxima Nova Rg" w:cstheme="minorHAnsi"/>
                <w:b/>
                <w:noProof/>
                <w:color w:val="1E3250"/>
                <w:sz w:val="56"/>
                <w:szCs w:val="56"/>
                <w:lang w:eastAsia="en-GB"/>
              </w:rPr>
            </w:pPr>
            <w:r w:rsidRPr="0013322B">
              <w:rPr>
                <w:rFonts w:ascii="Proxima Nova Rg" w:hAnsi="Proxima Nova Rg" w:cstheme="minorHAnsi"/>
                <w:b/>
                <w:color w:val="1E3250"/>
                <w:sz w:val="56"/>
                <w:szCs w:val="56"/>
              </w:rPr>
              <w:t xml:space="preserve">Corporal punishment of children in </w:t>
            </w:r>
            <w:r w:rsidR="003C7388" w:rsidRPr="0013322B">
              <w:rPr>
                <w:rFonts w:ascii="Proxima Nova Rg" w:hAnsi="Proxima Nova Rg" w:cstheme="minorHAnsi"/>
                <w:b/>
                <w:color w:val="1E3250"/>
                <w:sz w:val="56"/>
                <w:szCs w:val="56"/>
              </w:rPr>
              <w:t>Israel</w:t>
            </w:r>
          </w:p>
        </w:tc>
      </w:tr>
      <w:tr w:rsidR="00EE2C43" w:rsidRPr="0013322B" w14:paraId="63C617FD" w14:textId="77777777" w:rsidTr="0013322B">
        <w:tc>
          <w:tcPr>
            <w:tcW w:w="4807" w:type="dxa"/>
          </w:tcPr>
          <w:p w14:paraId="161E86DF" w14:textId="5B56A025" w:rsidR="007E3D40" w:rsidRPr="0013322B" w:rsidRDefault="00EE2C43" w:rsidP="007E3D40">
            <w:pPr>
              <w:spacing w:before="240"/>
              <w:rPr>
                <w:rFonts w:ascii="Proxima Nova Rg" w:hAnsi="Proxima Nova Rg" w:cstheme="minorHAnsi"/>
                <w:sz w:val="22"/>
                <w:szCs w:val="22"/>
              </w:rPr>
            </w:pPr>
            <w:bookmarkStart w:id="0" w:name="_Toc197483692"/>
            <w:r w:rsidRPr="0013322B">
              <w:rPr>
                <w:rFonts w:ascii="Proxima Nova Rg" w:hAnsi="Proxima Nova Rg" w:cstheme="minorHAnsi"/>
                <w:sz w:val="22"/>
                <w:szCs w:val="22"/>
              </w:rPr>
              <w:t xml:space="preserve">LAST UPDATED </w:t>
            </w:r>
            <w:r w:rsidR="003C7388" w:rsidRPr="0013322B">
              <w:rPr>
                <w:rFonts w:ascii="Proxima Nova Rg" w:hAnsi="Proxima Nova Rg" w:cstheme="minorHAnsi"/>
                <w:sz w:val="22"/>
                <w:szCs w:val="22"/>
              </w:rPr>
              <w:t>February 2018</w:t>
            </w:r>
          </w:p>
          <w:p w14:paraId="0EEC5A5A" w14:textId="6CFCA4D0" w:rsidR="007E3D40" w:rsidRPr="0013322B" w:rsidRDefault="00EE2C43" w:rsidP="007E3D40">
            <w:pPr>
              <w:rPr>
                <w:rFonts w:ascii="Proxima Nova Rg" w:hAnsi="Proxima Nova Rg" w:cstheme="minorHAnsi"/>
                <w:color w:val="0096A3"/>
                <w:sz w:val="22"/>
                <w:szCs w:val="22"/>
              </w:rPr>
            </w:pPr>
            <w:r w:rsidRPr="0013322B">
              <w:rPr>
                <w:rFonts w:ascii="Proxima Nova Rg" w:hAnsi="Proxima Nova Rg" w:cstheme="minorHAnsi"/>
                <w:sz w:val="22"/>
                <w:szCs w:val="22"/>
              </w:rPr>
              <w:t>Also available online at</w:t>
            </w:r>
            <w:r w:rsidRPr="0013322B">
              <w:rPr>
                <w:rFonts w:ascii="Proxima Nova Rg" w:hAnsi="Proxima Nova Rg" w:cstheme="minorHAnsi"/>
                <w:b/>
                <w:sz w:val="22"/>
                <w:szCs w:val="22"/>
              </w:rPr>
              <w:t xml:space="preserve"> </w:t>
            </w:r>
            <w:hyperlink r:id="rId11" w:history="1">
              <w:r w:rsidRPr="0013322B">
                <w:rPr>
                  <w:rStyle w:val="Hyperlink"/>
                  <w:rFonts w:ascii="Proxima Nova Rg" w:hAnsi="Proxima Nova Rg" w:cstheme="minorHAnsi"/>
                  <w:color w:val="ECA145"/>
                  <w:sz w:val="22"/>
                  <w:szCs w:val="22"/>
                </w:rPr>
                <w:t>www.endcorporalpunishment.org</w:t>
              </w:r>
            </w:hyperlink>
          </w:p>
          <w:p w14:paraId="73DB0DE5" w14:textId="7EE20E35" w:rsidR="00CD5FFE" w:rsidRPr="0013322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3322B">
              <w:rPr>
                <w:rFonts w:ascii="Proxima Nova Rg" w:hAnsi="Proxima Nova Rg" w:cstheme="minorHAnsi"/>
                <w:b/>
                <w:sz w:val="22"/>
                <w:szCs w:val="22"/>
              </w:rPr>
              <w:t xml:space="preserve">Child population </w:t>
            </w:r>
            <w:r w:rsidR="003C7388" w:rsidRPr="0013322B">
              <w:rPr>
                <w:rFonts w:ascii="Proxima Nova Rg" w:hAnsi="Proxima Nova Rg" w:cstheme="minorHAnsi"/>
                <w:sz w:val="22"/>
                <w:szCs w:val="22"/>
              </w:rPr>
              <w:t xml:space="preserve">2,626,000 </w:t>
            </w:r>
            <w:r w:rsidRPr="0013322B">
              <w:rPr>
                <w:rFonts w:ascii="Proxima Nova Rg" w:hAnsi="Proxima Nova Rg" w:cstheme="minorHAnsi"/>
                <w:sz w:val="22"/>
                <w:szCs w:val="22"/>
              </w:rPr>
              <w:t>(UNICEF, 2015)</w:t>
            </w:r>
          </w:p>
        </w:tc>
        <w:tc>
          <w:tcPr>
            <w:tcW w:w="5115" w:type="dxa"/>
          </w:tcPr>
          <w:p w14:paraId="35B1097F" w14:textId="063810A0" w:rsidR="00CD5FFE" w:rsidRPr="0013322B" w:rsidRDefault="00CD5FFE" w:rsidP="00EE2C43">
            <w:pPr>
              <w:spacing w:before="120" w:after="120"/>
              <w:jc w:val="right"/>
              <w:rPr>
                <w:rFonts w:ascii="Proxima Nova Rg" w:hAnsi="Proxima Nova Rg" w:cstheme="minorHAnsi"/>
                <w:b/>
                <w:color w:val="1E3250"/>
                <w:sz w:val="48"/>
                <w:szCs w:val="48"/>
              </w:rPr>
            </w:pPr>
          </w:p>
        </w:tc>
      </w:tr>
      <w:bookmarkEnd w:id="0"/>
    </w:tbl>
    <w:p w14:paraId="38AE737A" w14:textId="51042028" w:rsidR="00984204" w:rsidRPr="0013322B" w:rsidRDefault="00984204" w:rsidP="00984204">
      <w:pPr>
        <w:rPr>
          <w:rFonts w:ascii="Proxima Nova Rg" w:hAnsi="Proxima Nova Rg"/>
        </w:rPr>
      </w:pPr>
    </w:p>
    <w:p w14:paraId="1790CFD6" w14:textId="77777777" w:rsidR="00984204" w:rsidRPr="0013322B" w:rsidRDefault="00984204" w:rsidP="00984204">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29820748" w14:textId="77777777" w:rsidR="00984204" w:rsidRPr="0013322B" w:rsidRDefault="00984204" w:rsidP="00984204">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13322B">
        <w:rPr>
          <w:rFonts w:ascii="Proxima Nova Rg" w:hAnsi="Proxima Nova Rg"/>
          <w:b/>
          <w:sz w:val="28"/>
          <w:szCs w:val="28"/>
        </w:rPr>
        <w:t>Law reform has been achieved. Corporal punishment is unlawful in all settings, including the home.</w:t>
      </w:r>
    </w:p>
    <w:p w14:paraId="3FD0D325" w14:textId="77777777" w:rsidR="00BE68E2" w:rsidRPr="0013322B" w:rsidRDefault="00BE68E2" w:rsidP="00BE68E2">
      <w:pPr>
        <w:rPr>
          <w:rFonts w:ascii="Proxima Nova Rg" w:hAnsi="Proxima Nova Rg"/>
        </w:rPr>
      </w:pPr>
    </w:p>
    <w:p w14:paraId="4E3B3420" w14:textId="77777777" w:rsidR="00BE68E2" w:rsidRPr="0013322B" w:rsidRDefault="00BE68E2" w:rsidP="00BE68E2">
      <w:pPr>
        <w:rPr>
          <w:rFonts w:ascii="Proxima Nova Rg" w:hAnsi="Proxima Nova Rg"/>
        </w:rPr>
      </w:pPr>
    </w:p>
    <w:p w14:paraId="7A722C28" w14:textId="5AF12017" w:rsidR="00BA270B" w:rsidRPr="0013322B" w:rsidRDefault="00BE68E2" w:rsidP="00BE68E2">
      <w:pPr>
        <w:pStyle w:val="Heading2"/>
        <w:spacing w:after="120"/>
        <w:rPr>
          <w:rFonts w:ascii="Proxima Nova Rg" w:hAnsi="Proxima Nova Rg" w:cstheme="minorHAnsi"/>
          <w:b w:val="0"/>
          <w:sz w:val="28"/>
          <w:szCs w:val="28"/>
        </w:rPr>
      </w:pPr>
      <w:r w:rsidRPr="0013322B">
        <w:rPr>
          <w:rFonts w:ascii="Proxima Nova Rg" w:eastAsia="Calibri" w:hAnsi="Proxima Nova Rg" w:cstheme="minorHAnsi"/>
          <w:sz w:val="28"/>
          <w:szCs w:val="28"/>
          <w:lang w:eastAsia="en-GB"/>
        </w:rPr>
        <w:t>Prohibition</w:t>
      </w:r>
      <w:r w:rsidR="00BA270B" w:rsidRPr="0013322B">
        <w:rPr>
          <w:rFonts w:ascii="Proxima Nova Rg" w:hAnsi="Proxima Nova Rg" w:cstheme="minorHAnsi"/>
          <w:sz w:val="28"/>
          <w:szCs w:val="28"/>
        </w:rPr>
        <w:t xml:space="preserve"> of corporal punishment</w:t>
      </w:r>
    </w:p>
    <w:p w14:paraId="7A722C29" w14:textId="6DB5BC53" w:rsidR="00EE5054" w:rsidRPr="00D2316F" w:rsidRDefault="00EE5054" w:rsidP="00BB7DC3">
      <w:pPr>
        <w:pStyle w:val="Heading3"/>
        <w:spacing w:before="0" w:after="120"/>
        <w:rPr>
          <w:rFonts w:ascii="Proxima Nova Rg" w:hAnsi="Proxima Nova Rg" w:cstheme="minorHAnsi"/>
          <w:color w:val="ECA145"/>
          <w:sz w:val="22"/>
          <w:szCs w:val="22"/>
        </w:rPr>
      </w:pPr>
      <w:r w:rsidRPr="00D2316F">
        <w:rPr>
          <w:rFonts w:ascii="Proxima Nova Rg" w:hAnsi="Proxima Nova Rg" w:cstheme="minorHAnsi"/>
          <w:color w:val="ECA145"/>
          <w:sz w:val="22"/>
          <w:szCs w:val="22"/>
        </w:rPr>
        <w:t>Home</w:t>
      </w:r>
    </w:p>
    <w:p w14:paraId="0AA8E01A" w14:textId="77777777" w:rsidR="003C7388" w:rsidRPr="00243912" w:rsidRDefault="003C7388" w:rsidP="003C7388">
      <w:pPr>
        <w:autoSpaceDE w:val="0"/>
        <w:autoSpaceDN w:val="0"/>
        <w:adjustRightInd w:val="0"/>
        <w:spacing w:after="120"/>
        <w:rPr>
          <w:rFonts w:ascii="Proxima Nova Rg" w:eastAsia="Calibri" w:hAnsi="Proxima Nova Rg" w:cstheme="minorHAnsi"/>
          <w:iCs/>
          <w:sz w:val="22"/>
          <w:szCs w:val="22"/>
          <w:lang w:eastAsia="en-GB"/>
        </w:rPr>
      </w:pPr>
      <w:r w:rsidRPr="00243912">
        <w:rPr>
          <w:rFonts w:ascii="Proxima Nova Rg" w:hAnsi="Proxima Nova Rg" w:cstheme="minorHAnsi"/>
          <w:sz w:val="22"/>
          <w:szCs w:val="22"/>
        </w:rPr>
        <w:t xml:space="preserve">Corporal punishment is prohibited in the home. At one time the Civil Wrongs Ordinance 1944 provided a defence for the use of corporal punishment in childrearing, stating in article 24 that in respect of assault “it will be a defence if  … (7) </w:t>
      </w:r>
      <w:r w:rsidRPr="00243912">
        <w:rPr>
          <w:rFonts w:ascii="Proxima Nova Rg" w:eastAsia="Calibri" w:hAnsi="Proxima Nova Rg" w:cstheme="minorHAnsi"/>
          <w:iCs/>
          <w:sz w:val="22"/>
          <w:szCs w:val="22"/>
          <w:lang w:eastAsia="en-GB"/>
        </w:rPr>
        <w:t xml:space="preserve">the defendant is the parent or guardian or teacher of the plaintiff, or his or her status in regard to the plaintiff is similar to that of a parent or guardian or teacher, and he or she punished the plaintiff in an amount reasonably necessary in order that the plaintiff correct his or her behavior.” </w:t>
      </w:r>
    </w:p>
    <w:p w14:paraId="0BAA0237" w14:textId="77777777" w:rsidR="003C7388" w:rsidRPr="00243912" w:rsidRDefault="003C7388" w:rsidP="003C7388">
      <w:pPr>
        <w:autoSpaceDE w:val="0"/>
        <w:autoSpaceDN w:val="0"/>
        <w:adjustRightInd w:val="0"/>
        <w:spacing w:after="120"/>
        <w:rPr>
          <w:rFonts w:ascii="Proxima Nova Rg" w:hAnsi="Proxima Nova Rg" w:cstheme="minorHAnsi"/>
          <w:sz w:val="22"/>
          <w:szCs w:val="22"/>
          <w:lang w:eastAsia="en-GB"/>
        </w:rPr>
      </w:pPr>
      <w:r w:rsidRPr="00243912">
        <w:rPr>
          <w:rFonts w:ascii="Proxima Nova Rg" w:eastAsia="Calibri" w:hAnsi="Proxima Nova Rg" w:cstheme="minorHAnsi"/>
          <w:iCs/>
          <w:sz w:val="22"/>
          <w:szCs w:val="22"/>
          <w:lang w:eastAsia="en-GB"/>
        </w:rPr>
        <w:t xml:space="preserve">This defence was repealed in 2000, following a landmark Supreme Court judgment which </w:t>
      </w:r>
      <w:r w:rsidRPr="00243912">
        <w:rPr>
          <w:rFonts w:ascii="Proxima Nova Rg" w:hAnsi="Proxima Nova Rg" w:cstheme="minorHAnsi"/>
          <w:sz w:val="22"/>
          <w:szCs w:val="22"/>
        </w:rPr>
        <w:t xml:space="preserve">– referring to the Convention on the Rights of the Child and to the Israeli Basic Law: Human Dignity and Liberty 1992 – ruled that the defence and previous case law associated with it, was outdated: “Accordingly, </w:t>
      </w:r>
      <w:r w:rsidRPr="00243912">
        <w:rPr>
          <w:rFonts w:ascii="Proxima Nova Rg" w:eastAsia="Calibri" w:hAnsi="Proxima Nova Rg" w:cstheme="minorHAnsi"/>
          <w:sz w:val="22"/>
          <w:szCs w:val="22"/>
          <w:lang w:eastAsia="en-GB"/>
        </w:rPr>
        <w:t>we decide that corporal punishment of children, or humiliation and derogation from their dignity as a method of education by their parents, is entirely impermissible, and is a remnant of a societal-educational outlook that has lost its validity. The child is not the parent’s property and cannot be used as a punching bag the parents can beat at their leisure, even when the parents honestly believe that they are fulfilling their duty and right to educate their child. The child depends upon the parents, is entitled to parental love, protection and the parents’ gentle touch. The use of punishment which causes hurt and humiliation does not contribute to the child’s personality or education, but instead damages his or her human rights. Such punishment injures his or her body, feelings, dignity and proper development. Such punishment distances us from our goal of a society free of violence. Accordingly, let it be known that in our society, parents are now forbidden to make use of corporal punishments or methods that demean and humiliate the child as an educational system.”</w:t>
      </w:r>
      <w:r w:rsidRPr="00243912">
        <w:rPr>
          <w:rStyle w:val="FootnoteReference"/>
          <w:rFonts w:ascii="Proxima Nova Rg" w:eastAsia="Calibri" w:hAnsi="Proxima Nova Rg" w:cstheme="minorHAnsi"/>
          <w:sz w:val="22"/>
          <w:szCs w:val="22"/>
          <w:lang w:eastAsia="en-GB"/>
        </w:rPr>
        <w:footnoteReference w:id="2"/>
      </w:r>
      <w:r w:rsidRPr="00243912">
        <w:rPr>
          <w:rFonts w:ascii="Proxima Nova Rg" w:hAnsi="Proxima Nova Rg" w:cstheme="minorHAnsi"/>
          <w:sz w:val="22"/>
          <w:szCs w:val="22"/>
        </w:rPr>
        <w:t xml:space="preserve"> Subsequent court rulings have confirmed the unacceptability and illegality of corporal punishment in childrearing</w:t>
      </w:r>
      <w:r w:rsidRPr="00243912">
        <w:rPr>
          <w:rFonts w:ascii="Proxima Nova Rg" w:hAnsi="Proxima Nova Rg" w:cstheme="minorHAnsi"/>
          <w:sz w:val="22"/>
          <w:szCs w:val="22"/>
          <w:lang w:eastAsia="en-GB"/>
        </w:rPr>
        <w:t>.</w:t>
      </w:r>
      <w:r w:rsidRPr="00243912">
        <w:rPr>
          <w:rStyle w:val="FootnoteReference"/>
          <w:rFonts w:ascii="Proxima Nova Rg" w:hAnsi="Proxima Nova Rg" w:cstheme="minorHAnsi"/>
          <w:sz w:val="22"/>
          <w:szCs w:val="22"/>
          <w:lang w:eastAsia="en-GB"/>
        </w:rPr>
        <w:footnoteReference w:id="3"/>
      </w:r>
    </w:p>
    <w:p w14:paraId="1423B75F" w14:textId="77777777" w:rsidR="003C7388" w:rsidRPr="00243912" w:rsidRDefault="003C7388" w:rsidP="003C7388">
      <w:pPr>
        <w:autoSpaceDE w:val="0"/>
        <w:autoSpaceDN w:val="0"/>
        <w:adjustRightInd w:val="0"/>
        <w:spacing w:after="120"/>
        <w:rPr>
          <w:rFonts w:ascii="Proxima Nova Rg" w:hAnsi="Proxima Nova Rg" w:cstheme="minorHAnsi"/>
          <w:sz w:val="22"/>
          <w:szCs w:val="22"/>
          <w:lang w:eastAsia="en-GB"/>
        </w:rPr>
      </w:pPr>
      <w:r w:rsidRPr="00243912">
        <w:rPr>
          <w:rFonts w:ascii="Proxima Nova Rg" w:hAnsi="Proxima Nova Rg" w:cstheme="minorHAnsi"/>
          <w:sz w:val="22"/>
          <w:szCs w:val="22"/>
          <w:lang w:eastAsia="en-GB"/>
        </w:rPr>
        <w:lastRenderedPageBreak/>
        <w:t>According to the Circular of the Ministry of Education Director General 2719/3(b) “The Duty to Report a Crime Committed against a Minor According to the Law and the Questioning of Pupils as Victims or Witnesses”, there is a duty on those supervising children within and outside the family to report any suspicion of an offence against child.</w:t>
      </w:r>
      <w:r w:rsidRPr="00243912">
        <w:rPr>
          <w:rStyle w:val="FootnoteReference"/>
          <w:rFonts w:ascii="Proxima Nova Rg" w:hAnsi="Proxima Nova Rg" w:cstheme="minorHAnsi"/>
          <w:sz w:val="22"/>
          <w:szCs w:val="22"/>
          <w:lang w:eastAsia="en-GB"/>
        </w:rPr>
        <w:footnoteReference w:id="4"/>
      </w:r>
    </w:p>
    <w:p w14:paraId="7A722C2D" w14:textId="77777777" w:rsidR="00EE5054" w:rsidRPr="00243912" w:rsidRDefault="00EE5054" w:rsidP="00BB7DC3">
      <w:pPr>
        <w:spacing w:after="120"/>
        <w:rPr>
          <w:rFonts w:ascii="Proxima Nova Rg" w:hAnsi="Proxima Nova Rg" w:cstheme="minorHAnsi"/>
          <w:b/>
          <w:sz w:val="22"/>
          <w:szCs w:val="22"/>
        </w:rPr>
      </w:pPr>
    </w:p>
    <w:p w14:paraId="1084E424" w14:textId="594D7C6F" w:rsidR="00016CB3" w:rsidRPr="00D2316F" w:rsidRDefault="00016CB3" w:rsidP="00BB7DC3">
      <w:pPr>
        <w:pStyle w:val="Heading3"/>
        <w:spacing w:before="0" w:after="120"/>
        <w:rPr>
          <w:rFonts w:ascii="Proxima Nova Rg" w:hAnsi="Proxima Nova Rg" w:cstheme="minorHAnsi"/>
          <w:b w:val="0"/>
          <w:color w:val="ECA145"/>
          <w:sz w:val="22"/>
          <w:szCs w:val="22"/>
        </w:rPr>
      </w:pPr>
      <w:r w:rsidRPr="00D2316F">
        <w:rPr>
          <w:rFonts w:ascii="Proxima Nova Rg" w:hAnsi="Proxima Nova Rg" w:cstheme="minorHAnsi"/>
          <w:color w:val="ECA145"/>
          <w:sz w:val="22"/>
          <w:szCs w:val="22"/>
        </w:rPr>
        <w:t>Alternative care settings</w:t>
      </w:r>
    </w:p>
    <w:p w14:paraId="545F2788"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Corporal punishment is unlawful in alternative care settings under the Supreme Court ruling and subsequent repeal of the defence from the Civil Wrongs Ordinance in 2000 (see under “Home”).</w:t>
      </w:r>
    </w:p>
    <w:p w14:paraId="0CAB997A" w14:textId="77777777" w:rsidR="00016CB3" w:rsidRPr="00243912" w:rsidRDefault="00016CB3" w:rsidP="00BB7DC3">
      <w:pPr>
        <w:spacing w:after="120"/>
        <w:rPr>
          <w:rFonts w:ascii="Proxima Nova Rg" w:hAnsi="Proxima Nova Rg" w:cstheme="minorHAnsi"/>
          <w:sz w:val="22"/>
          <w:szCs w:val="22"/>
        </w:rPr>
      </w:pPr>
    </w:p>
    <w:p w14:paraId="56E90498" w14:textId="3030DCF6" w:rsidR="00016CB3" w:rsidRPr="00D2316F" w:rsidRDefault="004A62CE" w:rsidP="00BB7DC3">
      <w:pPr>
        <w:pStyle w:val="Heading3"/>
        <w:spacing w:before="0" w:after="120"/>
        <w:rPr>
          <w:rFonts w:ascii="Proxima Nova Rg" w:hAnsi="Proxima Nova Rg" w:cstheme="minorHAnsi"/>
          <w:b w:val="0"/>
          <w:color w:val="ECA145"/>
          <w:sz w:val="22"/>
          <w:szCs w:val="22"/>
        </w:rPr>
      </w:pPr>
      <w:r w:rsidRPr="00D2316F">
        <w:rPr>
          <w:rFonts w:ascii="Proxima Nova Rg" w:hAnsi="Proxima Nova Rg" w:cstheme="minorHAnsi"/>
          <w:color w:val="ECA145"/>
          <w:sz w:val="22"/>
          <w:szCs w:val="22"/>
        </w:rPr>
        <w:t>Day care</w:t>
      </w:r>
    </w:p>
    <w:p w14:paraId="06473642"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Corporal punishment is prohibited in day care institutions by clause 6 of the Regulations of Supervision of Daycare Institutions (1965, 1968). It is unlawful in other early childhood care and in day care for older children under the Supreme Court ruling and subsequent repeal of the defence from the Civil Wrongs Ordinance in 2000 (see under “Home”).</w:t>
      </w:r>
    </w:p>
    <w:p w14:paraId="16B9FB63" w14:textId="77777777" w:rsidR="00016CB3" w:rsidRPr="00243912" w:rsidRDefault="00016CB3" w:rsidP="00BB7DC3">
      <w:pPr>
        <w:spacing w:after="120"/>
        <w:rPr>
          <w:rFonts w:ascii="Proxima Nova Rg" w:hAnsi="Proxima Nova Rg" w:cstheme="minorHAnsi"/>
          <w:sz w:val="22"/>
          <w:szCs w:val="22"/>
        </w:rPr>
      </w:pPr>
    </w:p>
    <w:p w14:paraId="7A722C2E" w14:textId="77777777" w:rsidR="00EE5054" w:rsidRPr="00D2316F" w:rsidRDefault="00EE5054" w:rsidP="00BB7DC3">
      <w:pPr>
        <w:pStyle w:val="Heading3"/>
        <w:spacing w:before="0" w:after="120"/>
        <w:rPr>
          <w:rFonts w:ascii="Proxima Nova Rg" w:hAnsi="Proxima Nova Rg" w:cstheme="minorHAnsi"/>
          <w:b w:val="0"/>
          <w:color w:val="ECA145"/>
          <w:sz w:val="22"/>
          <w:szCs w:val="22"/>
        </w:rPr>
      </w:pPr>
      <w:r w:rsidRPr="00D2316F">
        <w:rPr>
          <w:rFonts w:ascii="Proxima Nova Rg" w:hAnsi="Proxima Nova Rg" w:cstheme="minorHAnsi"/>
          <w:color w:val="ECA145"/>
          <w:sz w:val="22"/>
          <w:szCs w:val="22"/>
        </w:rPr>
        <w:t>Schools</w:t>
      </w:r>
    </w:p>
    <w:p w14:paraId="2F365F96"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A Supreme Court ruling in 1994 declared that “corporal punishment cannot constitute a legitimate tool in the hands of teachers or other educators”, applicable to both state and private schools.</w:t>
      </w:r>
      <w:r w:rsidRPr="00243912">
        <w:rPr>
          <w:rStyle w:val="FootnoteReference"/>
          <w:rFonts w:ascii="Proxima Nova Rg" w:hAnsi="Proxima Nova Rg" w:cstheme="minorHAnsi"/>
          <w:sz w:val="22"/>
          <w:szCs w:val="22"/>
        </w:rPr>
        <w:footnoteReference w:id="5"/>
      </w:r>
      <w:r w:rsidRPr="00243912">
        <w:rPr>
          <w:rFonts w:ascii="Proxima Nova Rg" w:hAnsi="Proxima Nova Rg" w:cstheme="minorHAnsi"/>
          <w:sz w:val="22"/>
          <w:szCs w:val="22"/>
        </w:rPr>
        <w:t xml:space="preserve"> In 2000, the Students’ Rights Law 5761-2000 was enacted, stating in article 10: “It is the right of every pupil that discipline be maintained in the educational institution in conformity with human dignity and, in that regard, he has the right not to be subjected to corporal or degrading disciplinary measures.” The principal of an educational institution is under an obligation to report any occurrence of violence between an educator and a pupil under the Compulsory Education (Physical Violence Reporting Rules) Regulations 5770-2009.</w:t>
      </w:r>
    </w:p>
    <w:p w14:paraId="412C2A59" w14:textId="7426E6A3" w:rsidR="001C0CB6" w:rsidRPr="00243912" w:rsidRDefault="003C7388" w:rsidP="001C0CB6">
      <w:pPr>
        <w:spacing w:after="120"/>
        <w:rPr>
          <w:rFonts w:ascii="Proxima Nova Rg" w:eastAsia="Calibri" w:hAnsi="Proxima Nova Rg" w:cstheme="minorHAnsi"/>
          <w:color w:val="000000"/>
          <w:sz w:val="22"/>
          <w:szCs w:val="22"/>
          <w:lang w:val="en-US" w:eastAsia="en-GB"/>
        </w:rPr>
      </w:pPr>
      <w:r w:rsidRPr="00243912">
        <w:rPr>
          <w:rFonts w:ascii="Proxima Nova Rg" w:hAnsi="Proxima Nova Rg" w:cstheme="minorHAnsi"/>
          <w:sz w:val="22"/>
          <w:szCs w:val="22"/>
        </w:rPr>
        <w:t>Circular of the Ministry of Education Director General 2772/a(3) “Promoting Safe Climate and Coping with Violent Incidents in Educational Institutions” emphasises the prohibition of corporal punishment in schools and the obligation to report injury of a pupil by a teacher as well as suspicion that a child is being abused. It confirms that corporal punishment is considered to be physical violence.</w:t>
      </w:r>
      <w:r w:rsidRPr="00243912">
        <w:rPr>
          <w:rStyle w:val="FootnoteReference"/>
          <w:rFonts w:ascii="Proxima Nova Rg" w:hAnsi="Proxima Nova Rg" w:cstheme="minorHAnsi"/>
          <w:sz w:val="22"/>
          <w:szCs w:val="22"/>
        </w:rPr>
        <w:footnoteReference w:id="6"/>
      </w:r>
      <w:r w:rsidRPr="00243912">
        <w:rPr>
          <w:rFonts w:ascii="Proxima Nova Rg" w:hAnsi="Proxima Nova Rg" w:cstheme="minorHAnsi"/>
          <w:sz w:val="22"/>
          <w:szCs w:val="22"/>
        </w:rPr>
        <w:t xml:space="preserve"> The Circular states that the following punishments should not be used: </w:t>
      </w:r>
      <w:r w:rsidRPr="00243912">
        <w:rPr>
          <w:rFonts w:ascii="Proxima Nova Rg" w:eastAsia="Calibri" w:hAnsi="Proxima Nova Rg" w:cstheme="minorHAnsi"/>
          <w:color w:val="000000"/>
          <w:sz w:val="22"/>
          <w:szCs w:val="22"/>
          <w:lang w:val="en-US" w:eastAsia="en-GB"/>
        </w:rPr>
        <w:t>“any types of corporal punishment, degrading punishment (insult in public, verbal abuse that might include mockery, insult or humiliation), transferring a pupil temporarily to a lower grade, reducing a grade for inappropriate behavior, responding in a way that might jeopardize the pupil or harm her/his safety or health, and punishing a pupil for something her/his parents did or did not do.”</w:t>
      </w:r>
      <w:r w:rsidRPr="00243912">
        <w:rPr>
          <w:rStyle w:val="FootnoteReference"/>
          <w:rFonts w:ascii="Proxima Nova Rg" w:eastAsia="Calibri" w:hAnsi="Proxima Nova Rg" w:cstheme="minorHAnsi"/>
          <w:color w:val="000000"/>
          <w:sz w:val="22"/>
          <w:szCs w:val="22"/>
          <w:lang w:val="en-US" w:eastAsia="en-GB"/>
        </w:rPr>
        <w:footnoteReference w:id="7"/>
      </w:r>
    </w:p>
    <w:p w14:paraId="7A722C30" w14:textId="77777777" w:rsidR="00B25DA6" w:rsidRPr="00243912" w:rsidRDefault="00B25DA6" w:rsidP="00BB7DC3">
      <w:pPr>
        <w:spacing w:after="120"/>
        <w:rPr>
          <w:rFonts w:ascii="Proxima Nova Rg" w:hAnsi="Proxima Nova Rg" w:cstheme="minorHAnsi"/>
          <w:sz w:val="22"/>
          <w:szCs w:val="22"/>
        </w:rPr>
      </w:pPr>
    </w:p>
    <w:p w14:paraId="7A722C31" w14:textId="62D88AAA" w:rsidR="00EE5054" w:rsidRPr="00D2316F" w:rsidRDefault="00EE5054" w:rsidP="00BB7DC3">
      <w:pPr>
        <w:pStyle w:val="Heading3"/>
        <w:spacing w:before="0" w:after="120"/>
        <w:rPr>
          <w:rFonts w:ascii="Proxima Nova Rg" w:hAnsi="Proxima Nova Rg" w:cstheme="minorHAnsi"/>
          <w:b w:val="0"/>
          <w:color w:val="ECA145"/>
          <w:sz w:val="22"/>
          <w:szCs w:val="22"/>
        </w:rPr>
      </w:pPr>
      <w:r w:rsidRPr="00D2316F">
        <w:rPr>
          <w:rFonts w:ascii="Proxima Nova Rg" w:hAnsi="Proxima Nova Rg" w:cstheme="minorHAnsi"/>
          <w:color w:val="ECA145"/>
          <w:sz w:val="22"/>
          <w:szCs w:val="22"/>
        </w:rPr>
        <w:t xml:space="preserve">Penal </w:t>
      </w:r>
      <w:r w:rsidR="00BB7DC3" w:rsidRPr="00D2316F">
        <w:rPr>
          <w:rFonts w:ascii="Proxima Nova Rg" w:hAnsi="Proxima Nova Rg" w:cstheme="minorHAnsi"/>
          <w:color w:val="ECA145"/>
          <w:sz w:val="22"/>
          <w:szCs w:val="22"/>
        </w:rPr>
        <w:t>institutions</w:t>
      </w:r>
    </w:p>
    <w:p w14:paraId="19EBBF6C"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Corporal punishment is unlawful as a disciplinary measure in penal institutions, though we have yet to identify explicit prohibition.</w:t>
      </w:r>
    </w:p>
    <w:p w14:paraId="3A0D5D70" w14:textId="4748E71E" w:rsidR="00BB7DC3" w:rsidRPr="00243912" w:rsidRDefault="00BB7DC3" w:rsidP="00BB7DC3">
      <w:pPr>
        <w:spacing w:after="120"/>
        <w:rPr>
          <w:rFonts w:ascii="Proxima Nova Rg" w:hAnsi="Proxima Nova Rg" w:cstheme="minorHAnsi"/>
          <w:sz w:val="22"/>
          <w:szCs w:val="22"/>
        </w:rPr>
      </w:pPr>
    </w:p>
    <w:p w14:paraId="2504E16D" w14:textId="79448A55" w:rsidR="00BB7DC3" w:rsidRPr="00D2316F" w:rsidRDefault="00BB7DC3" w:rsidP="00BB7DC3">
      <w:pPr>
        <w:pStyle w:val="Heading3"/>
        <w:spacing w:before="0" w:after="120"/>
        <w:rPr>
          <w:rFonts w:ascii="Proxima Nova Rg" w:hAnsi="Proxima Nova Rg" w:cstheme="minorHAnsi"/>
          <w:color w:val="ECA145"/>
          <w:sz w:val="22"/>
          <w:szCs w:val="22"/>
        </w:rPr>
      </w:pPr>
      <w:r w:rsidRPr="00D2316F">
        <w:rPr>
          <w:rFonts w:ascii="Proxima Nova Rg" w:hAnsi="Proxima Nova Rg" w:cstheme="minorHAnsi"/>
          <w:color w:val="ECA145"/>
          <w:sz w:val="22"/>
          <w:szCs w:val="22"/>
        </w:rPr>
        <w:t>Sentence for crime</w:t>
      </w:r>
    </w:p>
    <w:p w14:paraId="1E61E204"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Corporal punishment is unlawful as a sentence for crime. There is no provision for judicial corporal punishment in the Youth (Care and Supervision) Law 5720-1960 or the Penal Law 5737-1977.</w:t>
      </w:r>
    </w:p>
    <w:p w14:paraId="2396A7DC" w14:textId="77777777" w:rsidR="00C25080" w:rsidRPr="00243912" w:rsidRDefault="00C25080" w:rsidP="00BB7DC3">
      <w:pPr>
        <w:spacing w:after="120"/>
        <w:rPr>
          <w:rFonts w:ascii="Proxima Nova Rg" w:hAnsi="Proxima Nova Rg" w:cstheme="minorHAnsi"/>
          <w:sz w:val="22"/>
          <w:szCs w:val="22"/>
        </w:rPr>
      </w:pPr>
    </w:p>
    <w:p w14:paraId="05F1357F" w14:textId="088B7188" w:rsidR="00C25080" w:rsidRPr="0013322B" w:rsidRDefault="00C25080" w:rsidP="00C25080">
      <w:pPr>
        <w:pStyle w:val="Heading2"/>
        <w:spacing w:after="120"/>
        <w:rPr>
          <w:rFonts w:ascii="Proxima Nova Rg" w:eastAsia="Calibri" w:hAnsi="Proxima Nova Rg" w:cstheme="minorHAnsi"/>
          <w:bCs w:val="0"/>
          <w:sz w:val="28"/>
          <w:szCs w:val="28"/>
          <w:lang w:eastAsia="en-GB"/>
        </w:rPr>
      </w:pPr>
      <w:r w:rsidRPr="0013322B">
        <w:rPr>
          <w:rFonts w:ascii="Proxima Nova Rg" w:eastAsia="Calibri" w:hAnsi="Proxima Nova Rg" w:cstheme="minorHAnsi"/>
          <w:sz w:val="28"/>
          <w:szCs w:val="28"/>
          <w:lang w:eastAsia="en-GB"/>
        </w:rPr>
        <w:lastRenderedPageBreak/>
        <w:t xml:space="preserve">Universal Periodic Review of </w:t>
      </w:r>
      <w:r w:rsidR="003C7388" w:rsidRPr="0013322B">
        <w:rPr>
          <w:rFonts w:ascii="Proxima Nova Rg" w:eastAsia="Calibri" w:hAnsi="Proxima Nova Rg" w:cstheme="minorHAnsi"/>
          <w:sz w:val="28"/>
          <w:szCs w:val="28"/>
          <w:lang w:eastAsia="en-GB"/>
        </w:rPr>
        <w:t>Israel’s</w:t>
      </w:r>
      <w:r w:rsidRPr="0013322B">
        <w:rPr>
          <w:rFonts w:ascii="Proxima Nova Rg" w:eastAsia="Calibri" w:hAnsi="Proxima Nova Rg" w:cstheme="minorHAnsi"/>
          <w:sz w:val="28"/>
          <w:szCs w:val="28"/>
          <w:lang w:eastAsia="en-GB"/>
        </w:rPr>
        <w:t xml:space="preserve"> human rights record</w:t>
      </w:r>
    </w:p>
    <w:p w14:paraId="0E25C05F"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Israel was reviewed in the first cycle of the Universal Periodic Review in 2008 (session 3). In the national report submitted for review, the Government described the law reform that took place in 1999/2000 to prohibit corporal punishment of children in schools and in the home.</w:t>
      </w:r>
      <w:r w:rsidRPr="00243912">
        <w:rPr>
          <w:rStyle w:val="FootnoteReference"/>
          <w:rFonts w:ascii="Proxima Nova Rg" w:hAnsi="Proxima Nova Rg" w:cstheme="minorHAnsi"/>
          <w:sz w:val="22"/>
          <w:szCs w:val="22"/>
        </w:rPr>
        <w:footnoteReference w:id="8"/>
      </w:r>
      <w:r w:rsidRPr="00243912">
        <w:rPr>
          <w:rFonts w:ascii="Proxima Nova Rg" w:hAnsi="Proxima Nova Rg" w:cstheme="minorHAnsi"/>
          <w:sz w:val="22"/>
          <w:szCs w:val="22"/>
        </w:rPr>
        <w:t xml:space="preserve"> No recommendations were made on the issue during the review, but the prohibition of corporal punishment in the education system was noted by the UK and Japan, and Japan </w:t>
      </w:r>
      <w:r w:rsidRPr="00243912">
        <w:rPr>
          <w:rFonts w:ascii="Proxima Nova Rg" w:eastAsia="Calibri" w:hAnsi="Proxima Nova Rg" w:cstheme="minorHAnsi"/>
          <w:sz w:val="22"/>
          <w:szCs w:val="22"/>
          <w:lang w:eastAsia="en-GB"/>
        </w:rPr>
        <w:t>expressed the hope that Israel would “do its utmost to protect children from acts of violence”.</w:t>
      </w:r>
      <w:r w:rsidRPr="00243912">
        <w:rPr>
          <w:rStyle w:val="FootnoteReference"/>
          <w:rFonts w:ascii="Proxima Nova Rg" w:eastAsia="Calibri" w:hAnsi="Proxima Nova Rg" w:cstheme="minorHAnsi"/>
          <w:sz w:val="22"/>
          <w:szCs w:val="22"/>
          <w:lang w:eastAsia="en-GB"/>
        </w:rPr>
        <w:footnoteReference w:id="9"/>
      </w:r>
      <w:r w:rsidRPr="00243912">
        <w:rPr>
          <w:rFonts w:ascii="Proxima Nova Rg" w:eastAsia="Calibri" w:hAnsi="Proxima Nova Rg" w:cstheme="minorHAnsi"/>
          <w:sz w:val="22"/>
          <w:szCs w:val="22"/>
          <w:lang w:eastAsia="en-GB"/>
        </w:rPr>
        <w:t xml:space="preserve"> </w:t>
      </w:r>
      <w:r w:rsidRPr="00243912">
        <w:rPr>
          <w:rFonts w:ascii="Proxima Nova Rg" w:hAnsi="Proxima Nova Rg" w:cstheme="minorHAnsi"/>
          <w:sz w:val="22"/>
          <w:szCs w:val="22"/>
        </w:rPr>
        <w:t>Recommendations concerning children were made in relation to Israel’s position as the occupying force in the Palestinian territories, including the following:</w:t>
      </w:r>
      <w:r w:rsidRPr="00243912">
        <w:rPr>
          <w:rStyle w:val="FootnoteReference"/>
          <w:rFonts w:ascii="Proxima Nova Rg" w:hAnsi="Proxima Nova Rg" w:cstheme="minorHAnsi"/>
          <w:sz w:val="22"/>
          <w:szCs w:val="22"/>
        </w:rPr>
        <w:footnoteReference w:id="10"/>
      </w:r>
      <w:r w:rsidRPr="00243912">
        <w:rPr>
          <w:rFonts w:ascii="Proxima Nova Rg" w:hAnsi="Proxima Nova Rg" w:cstheme="minorHAnsi"/>
          <w:sz w:val="22"/>
          <w:szCs w:val="22"/>
        </w:rPr>
        <w:t xml:space="preserve"> </w:t>
      </w:r>
    </w:p>
    <w:p w14:paraId="5951C3FE" w14:textId="77777777" w:rsidR="003C7388" w:rsidRPr="00243912" w:rsidRDefault="003C7388" w:rsidP="003C7388">
      <w:pPr>
        <w:autoSpaceDE w:val="0"/>
        <w:autoSpaceDN w:val="0"/>
        <w:adjustRightInd w:val="0"/>
        <w:spacing w:after="120"/>
        <w:ind w:left="720"/>
        <w:rPr>
          <w:rFonts w:ascii="Proxima Nova Rg" w:eastAsia="Calibri" w:hAnsi="Proxima Nova Rg" w:cstheme="minorHAnsi"/>
          <w:sz w:val="22"/>
          <w:szCs w:val="22"/>
          <w:lang w:eastAsia="en-GB"/>
        </w:rPr>
      </w:pPr>
      <w:r w:rsidRPr="00243912">
        <w:rPr>
          <w:rFonts w:ascii="Proxima Nova Rg" w:eastAsia="Calibri" w:hAnsi="Proxima Nova Rg" w:cstheme="minorHAnsi"/>
          <w:sz w:val="22"/>
          <w:szCs w:val="22"/>
          <w:lang w:eastAsia="en-GB"/>
        </w:rPr>
        <w:t>“Develop mechanisms for overseeing the implementation of the Convention of the Rights of the Child in the West Bank and Gaza (Slovenia)….</w:t>
      </w:r>
      <w:r w:rsidRPr="00243912">
        <w:rPr>
          <w:rStyle w:val="FootnoteReference"/>
          <w:rFonts w:ascii="Proxima Nova Rg" w:hAnsi="Proxima Nova Rg" w:cstheme="minorHAnsi"/>
          <w:sz w:val="22"/>
          <w:szCs w:val="22"/>
        </w:rPr>
        <w:t xml:space="preserve"> </w:t>
      </w:r>
    </w:p>
    <w:p w14:paraId="30D8CC0E" w14:textId="77777777" w:rsidR="003C7388" w:rsidRPr="00243912" w:rsidRDefault="003C7388" w:rsidP="003C7388">
      <w:pPr>
        <w:spacing w:after="120"/>
        <w:ind w:left="720"/>
        <w:rPr>
          <w:rFonts w:ascii="Proxima Nova Rg" w:eastAsia="Calibri" w:hAnsi="Proxima Nova Rg" w:cstheme="minorHAnsi"/>
          <w:sz w:val="22"/>
          <w:szCs w:val="22"/>
          <w:lang w:eastAsia="en-GB"/>
        </w:rPr>
      </w:pPr>
      <w:r w:rsidRPr="00243912">
        <w:rPr>
          <w:rFonts w:ascii="Proxima Nova Rg" w:eastAsia="Calibri" w:hAnsi="Proxima Nova Rg" w:cstheme="minorHAnsi"/>
          <w:sz w:val="22"/>
          <w:szCs w:val="22"/>
          <w:lang w:eastAsia="en-GB"/>
        </w:rPr>
        <w:t>“Establish a separate juvenile justice system to try accused Palestinian children (Slovenia)”</w:t>
      </w:r>
    </w:p>
    <w:p w14:paraId="0818F454" w14:textId="77777777" w:rsidR="003C7388" w:rsidRPr="00243912" w:rsidRDefault="003C7388" w:rsidP="003C7388">
      <w:pPr>
        <w:spacing w:after="120"/>
        <w:rPr>
          <w:rFonts w:ascii="Proxima Nova Rg" w:hAnsi="Proxima Nova Rg" w:cstheme="minorHAnsi"/>
          <w:sz w:val="22"/>
          <w:szCs w:val="22"/>
        </w:rPr>
      </w:pPr>
      <w:r w:rsidRPr="00243912">
        <w:rPr>
          <w:rFonts w:ascii="Proxima Nova Rg" w:hAnsi="Proxima Nova Rg" w:cstheme="minorHAnsi"/>
          <w:sz w:val="22"/>
          <w:szCs w:val="22"/>
        </w:rPr>
        <w:t>Israel did not clearly accept or reject the recommendations but did report that “following the universal periodic review process, several measures were currently being taken towards further promoting children’s rights through several preliminary means” and “a draft bill on the establishment of a new youth court had been prepared and was currently under review…”.</w:t>
      </w:r>
      <w:r w:rsidRPr="00243912">
        <w:rPr>
          <w:rStyle w:val="FootnoteReference"/>
          <w:rFonts w:ascii="Proxima Nova Rg" w:hAnsi="Proxima Nova Rg" w:cstheme="minorHAnsi"/>
          <w:sz w:val="22"/>
          <w:szCs w:val="22"/>
        </w:rPr>
        <w:footnoteReference w:id="11"/>
      </w:r>
    </w:p>
    <w:p w14:paraId="4061F9AE" w14:textId="77777777" w:rsidR="003C7388" w:rsidRPr="00243912" w:rsidRDefault="003C7388" w:rsidP="003C7388">
      <w:pPr>
        <w:pStyle w:val="SingleTxtG"/>
        <w:spacing w:line="240" w:lineRule="auto"/>
        <w:ind w:left="0" w:right="0"/>
        <w:jc w:val="left"/>
        <w:rPr>
          <w:rFonts w:ascii="Proxima Nova Rg" w:hAnsi="Proxima Nova Rg" w:cstheme="minorHAnsi"/>
          <w:sz w:val="22"/>
          <w:szCs w:val="22"/>
        </w:rPr>
      </w:pPr>
      <w:r w:rsidRPr="00243912">
        <w:rPr>
          <w:rFonts w:ascii="Proxima Nova Rg" w:hAnsi="Proxima Nova Rg" w:cstheme="minorHAnsi"/>
          <w:sz w:val="22"/>
          <w:szCs w:val="22"/>
        </w:rPr>
        <w:t>Examination in the second cycle took place in 2013 (session 17). No specific recommendations on corporal punishment were made.</w:t>
      </w:r>
    </w:p>
    <w:p w14:paraId="09B466C6" w14:textId="77777777" w:rsidR="003C7388" w:rsidRPr="00243912" w:rsidRDefault="003C7388" w:rsidP="003C7388">
      <w:pPr>
        <w:pStyle w:val="SingleTxtG"/>
        <w:spacing w:line="240" w:lineRule="auto"/>
        <w:ind w:left="0" w:right="0"/>
        <w:jc w:val="left"/>
        <w:rPr>
          <w:rFonts w:ascii="Proxima Nova Rg" w:hAnsi="Proxima Nova Rg" w:cstheme="minorHAnsi"/>
          <w:sz w:val="22"/>
          <w:szCs w:val="22"/>
        </w:rPr>
      </w:pPr>
      <w:r w:rsidRPr="00243912">
        <w:rPr>
          <w:rFonts w:ascii="Proxima Nova Rg" w:hAnsi="Proxima Nova Rg" w:cstheme="minorHAnsi"/>
          <w:sz w:val="22"/>
          <w:szCs w:val="22"/>
        </w:rPr>
        <w:t>Third cycle examination took place in 2018 (session 29). No specific recommendations on corporal punishment were made.</w:t>
      </w:r>
    </w:p>
    <w:p w14:paraId="7A722C3E" w14:textId="77777777" w:rsidR="00977A67" w:rsidRPr="0013322B" w:rsidRDefault="00977A67" w:rsidP="00BB7DC3">
      <w:pPr>
        <w:spacing w:after="120"/>
        <w:rPr>
          <w:rFonts w:ascii="Proxima Nova Rg" w:hAnsi="Proxima Nova Rg" w:cstheme="minorHAnsi"/>
          <w:b/>
          <w:sz w:val="28"/>
          <w:szCs w:val="28"/>
          <w:u w:val="single"/>
        </w:rPr>
      </w:pPr>
    </w:p>
    <w:p w14:paraId="7A722C3F" w14:textId="3CD0C6EB" w:rsidR="00EE5054" w:rsidRPr="0013322B" w:rsidRDefault="00EE5054" w:rsidP="00BB7DC3">
      <w:pPr>
        <w:pStyle w:val="Heading2"/>
        <w:spacing w:after="120"/>
        <w:rPr>
          <w:rFonts w:ascii="Proxima Nova Rg" w:hAnsi="Proxima Nova Rg" w:cstheme="minorHAnsi"/>
          <w:sz w:val="28"/>
          <w:szCs w:val="28"/>
        </w:rPr>
      </w:pPr>
      <w:bookmarkStart w:id="2" w:name="_Toc197483587"/>
      <w:r w:rsidRPr="0013322B">
        <w:rPr>
          <w:rFonts w:ascii="Proxima Nova Rg" w:hAnsi="Proxima Nova Rg" w:cstheme="minorHAnsi"/>
          <w:sz w:val="28"/>
          <w:szCs w:val="28"/>
        </w:rPr>
        <w:t>Recommendations by human rights treaty bodies</w:t>
      </w:r>
      <w:bookmarkEnd w:id="2"/>
    </w:p>
    <w:p w14:paraId="7A722C40" w14:textId="77777777" w:rsidR="00CB23B9" w:rsidRPr="00E105F2" w:rsidRDefault="00CB23B9" w:rsidP="00BB7DC3">
      <w:pPr>
        <w:pStyle w:val="Heading3"/>
        <w:spacing w:before="0" w:after="120"/>
        <w:rPr>
          <w:rFonts w:ascii="Proxima Nova Rg" w:hAnsi="Proxima Nova Rg" w:cstheme="minorHAnsi"/>
          <w:i/>
          <w:color w:val="ECA145"/>
          <w:sz w:val="22"/>
          <w:szCs w:val="22"/>
        </w:rPr>
      </w:pPr>
      <w:r w:rsidRPr="00E105F2">
        <w:rPr>
          <w:rFonts w:ascii="Proxima Nova Rg" w:hAnsi="Proxima Nova Rg" w:cstheme="minorHAnsi"/>
          <w:i/>
          <w:color w:val="ECA145"/>
          <w:sz w:val="22"/>
          <w:szCs w:val="22"/>
        </w:rPr>
        <w:t>Committee on the Rights of the Child</w:t>
      </w:r>
    </w:p>
    <w:p w14:paraId="617DC6E6" w14:textId="77777777" w:rsidR="003C7388" w:rsidRPr="00243912" w:rsidRDefault="003C7388" w:rsidP="003C7388">
      <w:pPr>
        <w:spacing w:after="120"/>
        <w:rPr>
          <w:rFonts w:ascii="Proxima Nova Rg" w:hAnsi="Proxima Nova Rg" w:cstheme="minorHAnsi"/>
          <w:sz w:val="22"/>
          <w:szCs w:val="22"/>
          <w:lang w:eastAsia="en-GB"/>
        </w:rPr>
      </w:pPr>
      <w:r w:rsidRPr="00243912">
        <w:rPr>
          <w:rFonts w:ascii="Proxima Nova Rg" w:hAnsi="Proxima Nova Rg" w:cstheme="minorHAnsi"/>
          <w:sz w:val="22"/>
          <w:szCs w:val="22"/>
          <w:lang w:eastAsia="en-GB"/>
        </w:rPr>
        <w:t>(4 July 2013, CRC/C/ISR/CO/2-4, Concluding observations on second to fourth report, paras. 37 and 38)</w:t>
      </w:r>
    </w:p>
    <w:p w14:paraId="31445353" w14:textId="77777777" w:rsidR="003C7388" w:rsidRPr="00243912" w:rsidRDefault="003C7388" w:rsidP="003C7388">
      <w:pPr>
        <w:autoSpaceDE w:val="0"/>
        <w:autoSpaceDN w:val="0"/>
        <w:adjustRightInd w:val="0"/>
        <w:spacing w:after="120"/>
        <w:rPr>
          <w:rFonts w:ascii="Proxima Nova Rg" w:eastAsia="Calibri" w:hAnsi="Proxima Nova Rg" w:cstheme="minorHAnsi"/>
          <w:sz w:val="22"/>
          <w:szCs w:val="22"/>
          <w:lang w:eastAsia="en-GB"/>
        </w:rPr>
      </w:pPr>
      <w:r w:rsidRPr="00243912">
        <w:rPr>
          <w:rFonts w:ascii="Proxima Nova Rg" w:eastAsia="Calibri" w:hAnsi="Proxima Nova Rg" w:cstheme="minorHAnsi"/>
          <w:sz w:val="22"/>
          <w:szCs w:val="22"/>
          <w:lang w:eastAsia="en-GB"/>
        </w:rPr>
        <w:t xml:space="preserve">“The Committee welcomes the full prohibition of corporal punishment in all settings in the State party as well as the Compulsory Education (Physical Violence Reporting Rules) Regulations No. 5770-2009 which obliges Principals of educational institutions to report in writing any occurrence of physical violence between an educator and a pupil. The Committee is however concerned about the high proportion of students reporting that they have experienced physical and emotional maltreatment, and that corporal punishment continues to be inflicted on children in detention. </w:t>
      </w:r>
    </w:p>
    <w:p w14:paraId="253D74F7" w14:textId="77777777" w:rsidR="003C7388" w:rsidRPr="00243912" w:rsidRDefault="003C7388" w:rsidP="003C7388">
      <w:pPr>
        <w:spacing w:after="120"/>
        <w:rPr>
          <w:rFonts w:ascii="Proxima Nova Rg" w:eastAsia="Calibri" w:hAnsi="Proxima Nova Rg" w:cstheme="minorHAnsi"/>
          <w:bCs/>
          <w:sz w:val="22"/>
          <w:szCs w:val="22"/>
          <w:lang w:eastAsia="en-GB"/>
        </w:rPr>
      </w:pPr>
      <w:r w:rsidRPr="00243912">
        <w:rPr>
          <w:rFonts w:ascii="Proxima Nova Rg" w:eastAsia="Calibri" w:hAnsi="Proxima Nova Rg" w:cstheme="minorHAnsi"/>
          <w:bCs/>
          <w:sz w:val="22"/>
          <w:szCs w:val="22"/>
          <w:lang w:eastAsia="en-GB"/>
        </w:rPr>
        <w:t>“In light of its general comment No. 8 (2006) on the right of the child to protection from corporal punishment and other cruel or degrading forms of punishment, the Committee recommends that the State party take effective measures to eliminate corporal punishment and its psychological consequences including through the implementation of public and professional awareness raising programmes including campaigns. The State party should also promote positive, non-violent and participatory forms of child-rearing and discipline as an alternative to corporal punishment and establish child-friendly complaints mechanisms.”</w:t>
      </w:r>
    </w:p>
    <w:p w14:paraId="27018376" w14:textId="079395B7" w:rsidR="001C0CB6" w:rsidRPr="00243912"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E105F2"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E105F2">
        <w:rPr>
          <w:rFonts w:ascii="Proxima Nova Rg" w:hAnsi="Proxima Nova Rg" w:cstheme="minorHAnsi"/>
          <w:bCs/>
          <w:i/>
          <w:color w:val="ECA145"/>
          <w:sz w:val="22"/>
          <w:szCs w:val="22"/>
          <w:lang w:val="en-CA"/>
        </w:rPr>
        <w:t>Committee on the Rights of the Child</w:t>
      </w:r>
    </w:p>
    <w:p w14:paraId="70D032D6" w14:textId="77777777" w:rsidR="003C7388" w:rsidRPr="00243912" w:rsidRDefault="003C7388" w:rsidP="003C7388">
      <w:pPr>
        <w:spacing w:after="120"/>
        <w:rPr>
          <w:rFonts w:ascii="Proxima Nova Rg" w:hAnsi="Proxima Nova Rg" w:cstheme="minorHAnsi"/>
          <w:b/>
          <w:sz w:val="22"/>
          <w:szCs w:val="22"/>
        </w:rPr>
      </w:pPr>
      <w:bookmarkStart w:id="3" w:name="_Toc197483876"/>
      <w:r w:rsidRPr="00243912">
        <w:rPr>
          <w:rFonts w:ascii="Proxima Nova Rg" w:hAnsi="Proxima Nova Rg" w:cstheme="minorHAnsi"/>
          <w:sz w:val="22"/>
          <w:szCs w:val="22"/>
        </w:rPr>
        <w:t>(9 October 2002, CRC/C/15/Add.195, Concluding observations on initial report, paras. 3, 38 and 39)</w:t>
      </w:r>
      <w:bookmarkEnd w:id="3"/>
    </w:p>
    <w:p w14:paraId="7E3B4109" w14:textId="77777777" w:rsidR="003C7388" w:rsidRPr="00243912" w:rsidRDefault="003C7388" w:rsidP="003C7388">
      <w:pPr>
        <w:spacing w:after="120"/>
        <w:rPr>
          <w:rFonts w:ascii="Proxima Nova Rg" w:hAnsi="Proxima Nova Rg" w:cstheme="minorHAnsi"/>
          <w:sz w:val="22"/>
          <w:szCs w:val="22"/>
          <w:lang w:val="en-US"/>
        </w:rPr>
      </w:pPr>
      <w:r w:rsidRPr="00243912">
        <w:rPr>
          <w:rFonts w:ascii="Proxima Nova Rg" w:hAnsi="Proxima Nova Rg" w:cstheme="minorHAnsi"/>
          <w:sz w:val="22"/>
          <w:szCs w:val="22"/>
          <w:lang w:val="en-US"/>
        </w:rPr>
        <w:t>“The Committee welcomes:</w:t>
      </w:r>
    </w:p>
    <w:p w14:paraId="423AFBDE" w14:textId="77777777" w:rsidR="003C7388" w:rsidRPr="00243912" w:rsidRDefault="003C7388" w:rsidP="003C7388">
      <w:pPr>
        <w:spacing w:after="120"/>
        <w:rPr>
          <w:rFonts w:ascii="Proxima Nova Rg" w:hAnsi="Proxima Nova Rg" w:cstheme="minorHAnsi"/>
          <w:sz w:val="22"/>
          <w:szCs w:val="22"/>
          <w:lang w:val="en-US"/>
        </w:rPr>
      </w:pPr>
      <w:r w:rsidRPr="00243912">
        <w:rPr>
          <w:rFonts w:ascii="Proxima Nova Rg" w:hAnsi="Proxima Nova Rg" w:cstheme="minorHAnsi"/>
          <w:sz w:val="22"/>
          <w:szCs w:val="22"/>
          <w:lang w:val="en-US"/>
        </w:rPr>
        <w:t>c) the prohibition of corporal punishment in homes, schools and other institutions….</w:t>
      </w:r>
    </w:p>
    <w:p w14:paraId="6BDD4864" w14:textId="77777777" w:rsidR="003C7388" w:rsidRPr="00243912" w:rsidRDefault="003C7388" w:rsidP="003C7388">
      <w:pPr>
        <w:spacing w:after="120"/>
        <w:rPr>
          <w:rFonts w:ascii="Proxima Nova Rg" w:hAnsi="Proxima Nova Rg" w:cstheme="minorHAnsi"/>
          <w:b/>
          <w:sz w:val="22"/>
          <w:szCs w:val="22"/>
        </w:rPr>
      </w:pPr>
      <w:bookmarkStart w:id="4" w:name="_Toc197483877"/>
      <w:r w:rsidRPr="00243912">
        <w:rPr>
          <w:rFonts w:ascii="Proxima Nova Rg" w:hAnsi="Proxima Nova Rg" w:cstheme="minorHAnsi"/>
          <w:sz w:val="22"/>
          <w:szCs w:val="22"/>
        </w:rPr>
        <w:lastRenderedPageBreak/>
        <w:t>“The Committee welcomes the many efforts of the State party to prevent and combat all forms of violence and abuse within the family, in schools and in other institutions which care for children, but is concerned at the apparently limited impact of these efforts owing to, among other things, the lack of a comprehensive strategy and adequate resources.</w:t>
      </w:r>
      <w:bookmarkEnd w:id="4"/>
    </w:p>
    <w:p w14:paraId="232F0EE1" w14:textId="77777777" w:rsidR="003C7388" w:rsidRPr="00243912" w:rsidRDefault="003C7388" w:rsidP="003C7388">
      <w:pPr>
        <w:spacing w:after="120"/>
        <w:rPr>
          <w:rFonts w:ascii="Proxima Nova Rg" w:hAnsi="Proxima Nova Rg" w:cstheme="minorHAnsi"/>
          <w:b/>
          <w:sz w:val="22"/>
          <w:szCs w:val="22"/>
        </w:rPr>
      </w:pPr>
      <w:bookmarkStart w:id="5" w:name="_Toc197483878"/>
      <w:r w:rsidRPr="00243912">
        <w:rPr>
          <w:rFonts w:ascii="Proxima Nova Rg" w:hAnsi="Proxima Nova Rg" w:cstheme="minorHAnsi"/>
          <w:sz w:val="22"/>
          <w:szCs w:val="22"/>
        </w:rPr>
        <w:t>“The Committee recommends that the State party establish a national and comprehensive strategy to prevent and combat violence and abuse within the family, in schools and other institutions caring for children, which should include, among other things:</w:t>
      </w:r>
      <w:bookmarkEnd w:id="5"/>
    </w:p>
    <w:p w14:paraId="5F5A8C9A" w14:textId="77777777" w:rsidR="003C7388" w:rsidRPr="00243912" w:rsidRDefault="003C7388" w:rsidP="003C7388">
      <w:pPr>
        <w:spacing w:after="120"/>
        <w:rPr>
          <w:rFonts w:ascii="Proxima Nova Rg" w:hAnsi="Proxima Nova Rg" w:cstheme="minorHAnsi"/>
          <w:b/>
          <w:sz w:val="22"/>
          <w:szCs w:val="22"/>
        </w:rPr>
      </w:pPr>
      <w:bookmarkStart w:id="6" w:name="_Toc197483879"/>
      <w:r w:rsidRPr="00243912">
        <w:rPr>
          <w:rFonts w:ascii="Proxima Nova Rg" w:hAnsi="Proxima Nova Rg" w:cstheme="minorHAnsi"/>
          <w:sz w:val="22"/>
          <w:szCs w:val="22"/>
        </w:rPr>
        <w:t>a) establish a national and comprehensive strategy to prevent and combat violence and abuse within the family, in schools and in other institutions caring for children, which should include, among other things, a study to assess the nature and extent of ill-treatment and abuse of children, and design policies and programmes to address these practices;</w:t>
      </w:r>
      <w:bookmarkEnd w:id="6"/>
    </w:p>
    <w:p w14:paraId="2FD0D8FF" w14:textId="77777777" w:rsidR="003C7388" w:rsidRPr="00243912" w:rsidRDefault="003C7388" w:rsidP="003C7388">
      <w:pPr>
        <w:spacing w:after="120"/>
        <w:rPr>
          <w:rFonts w:ascii="Proxima Nova Rg" w:hAnsi="Proxima Nova Rg" w:cstheme="minorHAnsi"/>
          <w:sz w:val="22"/>
          <w:szCs w:val="22"/>
        </w:rPr>
      </w:pPr>
      <w:bookmarkStart w:id="7" w:name="_Toc197483880"/>
      <w:r w:rsidRPr="00243912">
        <w:rPr>
          <w:rFonts w:ascii="Proxima Nova Rg" w:hAnsi="Proxima Nova Rg" w:cstheme="minorHAnsi"/>
          <w:sz w:val="22"/>
          <w:szCs w:val="22"/>
        </w:rPr>
        <w:t>b) carry out public education campaigns about the negative consequences of ill-treatment of children and promote positive, non-violent forms of discipline as an alternative to corporal punishment….”</w:t>
      </w:r>
      <w:bookmarkEnd w:id="7"/>
    </w:p>
    <w:p w14:paraId="10C03AF0" w14:textId="77777777" w:rsidR="001C0CB6" w:rsidRPr="00243912" w:rsidRDefault="001C0CB6" w:rsidP="00BB7DC3">
      <w:pPr>
        <w:pStyle w:val="SingleTxtG"/>
        <w:spacing w:line="240" w:lineRule="auto"/>
        <w:ind w:left="0" w:right="0"/>
        <w:jc w:val="left"/>
        <w:rPr>
          <w:rFonts w:ascii="Proxima Nova Rg" w:hAnsi="Proxima Nova Rg" w:cstheme="minorHAnsi"/>
          <w:bCs/>
          <w:sz w:val="22"/>
          <w:szCs w:val="22"/>
          <w:lang w:val="en-CA"/>
        </w:rPr>
      </w:pPr>
    </w:p>
    <w:p w14:paraId="01B109F1" w14:textId="2DFA66FF" w:rsidR="003A1B48" w:rsidRPr="00E105F2" w:rsidRDefault="003C7388" w:rsidP="003A1B48">
      <w:pPr>
        <w:pStyle w:val="Heading3"/>
        <w:spacing w:before="0" w:after="120"/>
        <w:rPr>
          <w:rFonts w:ascii="Proxima Nova Rg" w:hAnsi="Proxima Nova Rg" w:cstheme="minorHAnsi"/>
          <w:i/>
          <w:color w:val="ECA145"/>
          <w:sz w:val="22"/>
          <w:szCs w:val="22"/>
        </w:rPr>
      </w:pPr>
      <w:r w:rsidRPr="00E105F2">
        <w:rPr>
          <w:rFonts w:ascii="Proxima Nova Rg" w:hAnsi="Proxima Nova Rg" w:cstheme="minorHAnsi"/>
          <w:i/>
          <w:color w:val="ECA145"/>
          <w:sz w:val="22"/>
          <w:szCs w:val="22"/>
        </w:rPr>
        <w:t xml:space="preserve">Human Rights </w:t>
      </w:r>
      <w:r w:rsidR="003A1B48" w:rsidRPr="00E105F2">
        <w:rPr>
          <w:rFonts w:ascii="Proxima Nova Rg" w:hAnsi="Proxima Nova Rg" w:cstheme="minorHAnsi"/>
          <w:i/>
          <w:color w:val="ECA145"/>
          <w:sz w:val="22"/>
          <w:szCs w:val="22"/>
        </w:rPr>
        <w:t xml:space="preserve">Committee </w:t>
      </w:r>
    </w:p>
    <w:p w14:paraId="03CEFD11" w14:textId="77777777" w:rsidR="003C7388" w:rsidRPr="00243912" w:rsidRDefault="003C7388" w:rsidP="003C7388">
      <w:pPr>
        <w:pStyle w:val="FootnoteText"/>
        <w:spacing w:after="120"/>
        <w:rPr>
          <w:rFonts w:ascii="Proxima Nova Rg" w:hAnsi="Proxima Nova Rg" w:cstheme="minorHAnsi"/>
          <w:sz w:val="22"/>
          <w:szCs w:val="22"/>
        </w:rPr>
      </w:pPr>
      <w:r w:rsidRPr="00243912">
        <w:rPr>
          <w:rFonts w:ascii="Proxima Nova Rg" w:hAnsi="Proxima Nova Rg" w:cstheme="minorHAnsi"/>
          <w:sz w:val="22"/>
          <w:szCs w:val="22"/>
        </w:rPr>
        <w:t xml:space="preserve">(3 September 2010, </w:t>
      </w:r>
      <w:r w:rsidRPr="00243912">
        <w:rPr>
          <w:rFonts w:ascii="Proxima Nova Rg" w:eastAsia="Calibri" w:hAnsi="Proxima Nova Rg" w:cstheme="minorHAnsi"/>
          <w:sz w:val="22"/>
          <w:szCs w:val="22"/>
        </w:rPr>
        <w:t xml:space="preserve">CCPR/C/ISR/CO/3, </w:t>
      </w:r>
      <w:r w:rsidRPr="00243912">
        <w:rPr>
          <w:rFonts w:ascii="Proxima Nova Rg" w:hAnsi="Proxima Nova Rg" w:cstheme="minorHAnsi"/>
          <w:sz w:val="22"/>
          <w:szCs w:val="22"/>
        </w:rPr>
        <w:t>Concluding observations on third report, para. 22)</w:t>
      </w:r>
    </w:p>
    <w:p w14:paraId="36CF24C2" w14:textId="77777777" w:rsidR="003C7388" w:rsidRPr="00243912" w:rsidRDefault="003C7388" w:rsidP="003C7388">
      <w:pPr>
        <w:pStyle w:val="SingleTxtG"/>
        <w:spacing w:line="240" w:lineRule="auto"/>
        <w:ind w:left="0" w:right="0"/>
        <w:jc w:val="left"/>
        <w:rPr>
          <w:rFonts w:ascii="Proxima Nova Rg" w:hAnsi="Proxima Nova Rg" w:cstheme="minorHAnsi"/>
          <w:sz w:val="22"/>
          <w:szCs w:val="22"/>
        </w:rPr>
      </w:pPr>
      <w:bookmarkStart w:id="8" w:name="OLE_LINK3"/>
      <w:bookmarkStart w:id="9" w:name="OLE_LINK4"/>
      <w:r w:rsidRPr="00243912">
        <w:rPr>
          <w:rFonts w:ascii="Proxima Nova Rg" w:hAnsi="Proxima Nova Rg" w:cstheme="minorHAnsi"/>
          <w:sz w:val="22"/>
          <w:szCs w:val="22"/>
        </w:rPr>
        <w:t>“The Committee is concerned at a number of differences in the juvenile justice system between Israeli legislation and under military orders in the West Bank. Under military orders, children of the age of 16 are tried as adults, even if the crime was committed when they were below the age of 16…. [The Committee] is also very concerned at allegations of torture, cruel, inhuman or degrading treatment of juvenile offenders (arts. 7, 14 and 24).</w:t>
      </w:r>
    </w:p>
    <w:p w14:paraId="43C1E711" w14:textId="77777777" w:rsidR="003C7388" w:rsidRPr="00243912" w:rsidRDefault="003C7388" w:rsidP="003C7388">
      <w:pPr>
        <w:pStyle w:val="SingleTxtG"/>
        <w:spacing w:line="240" w:lineRule="auto"/>
        <w:ind w:left="0" w:right="0"/>
        <w:jc w:val="left"/>
        <w:rPr>
          <w:rFonts w:ascii="Proxima Nova Rg" w:hAnsi="Proxima Nova Rg" w:cstheme="minorHAnsi"/>
          <w:sz w:val="22"/>
          <w:szCs w:val="22"/>
        </w:rPr>
      </w:pPr>
      <w:r w:rsidRPr="00243912">
        <w:rPr>
          <w:rFonts w:ascii="Proxima Nova Rg" w:hAnsi="Proxima Nova Rg" w:cstheme="minorHAnsi"/>
          <w:bCs/>
          <w:sz w:val="22"/>
          <w:szCs w:val="22"/>
        </w:rPr>
        <w:t>The State party should:</w:t>
      </w:r>
    </w:p>
    <w:p w14:paraId="00CA40AF" w14:textId="77777777" w:rsidR="003C7388" w:rsidRPr="00243912" w:rsidRDefault="003C7388" w:rsidP="003C7388">
      <w:pPr>
        <w:pStyle w:val="SingleTxtG"/>
        <w:spacing w:line="240" w:lineRule="auto"/>
        <w:ind w:left="0" w:right="0"/>
        <w:jc w:val="left"/>
        <w:rPr>
          <w:rFonts w:ascii="Proxima Nova Rg" w:hAnsi="Proxima Nova Rg" w:cstheme="minorHAnsi"/>
          <w:bCs/>
          <w:sz w:val="22"/>
          <w:szCs w:val="22"/>
        </w:rPr>
      </w:pPr>
      <w:r w:rsidRPr="00243912">
        <w:rPr>
          <w:rFonts w:ascii="Proxima Nova Rg" w:hAnsi="Proxima Nova Rg" w:cstheme="minorHAnsi"/>
          <w:bCs/>
          <w:sz w:val="22"/>
          <w:szCs w:val="22"/>
        </w:rPr>
        <w:t>a) ensure that children are not tried as adults; …</w:t>
      </w:r>
    </w:p>
    <w:p w14:paraId="6A203451" w14:textId="77777777" w:rsidR="003C7388" w:rsidRPr="00243912" w:rsidRDefault="003C7388" w:rsidP="003C7388">
      <w:pPr>
        <w:pStyle w:val="SingleTxtG"/>
        <w:spacing w:line="240" w:lineRule="auto"/>
        <w:ind w:left="0" w:right="0"/>
        <w:jc w:val="left"/>
        <w:rPr>
          <w:rFonts w:ascii="Proxima Nova Rg" w:hAnsi="Proxima Nova Rg" w:cstheme="minorHAnsi"/>
          <w:bCs/>
          <w:sz w:val="22"/>
          <w:szCs w:val="22"/>
        </w:rPr>
      </w:pPr>
      <w:r w:rsidRPr="00243912">
        <w:rPr>
          <w:rFonts w:ascii="Proxima Nova Rg" w:hAnsi="Proxima Nova Rg" w:cstheme="minorHAnsi"/>
          <w:bCs/>
          <w:sz w:val="22"/>
          <w:szCs w:val="22"/>
        </w:rPr>
        <w:t>d) ensure that reports of torture or cruel, inhuman or degrading treatment of detained children are investigated promptly by an independent body.</w:t>
      </w:r>
      <w:bookmarkEnd w:id="8"/>
      <w:bookmarkEnd w:id="9"/>
      <w:r w:rsidRPr="00243912">
        <w:rPr>
          <w:rFonts w:ascii="Proxima Nova Rg" w:hAnsi="Proxima Nova Rg" w:cstheme="minorHAnsi"/>
          <w:bCs/>
          <w:sz w:val="22"/>
          <w:szCs w:val="22"/>
        </w:rPr>
        <w:t>”</w:t>
      </w:r>
    </w:p>
    <w:p w14:paraId="33204B07" w14:textId="77777777" w:rsidR="001C0CB6" w:rsidRPr="0013322B"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13322B" w:rsidRDefault="00C77C73" w:rsidP="00C77C73">
      <w:pPr>
        <w:pStyle w:val="Heading2"/>
        <w:spacing w:after="120"/>
        <w:rPr>
          <w:rFonts w:ascii="Proxima Nova Rg" w:hAnsi="Proxima Nova Rg" w:cstheme="minorHAnsi"/>
          <w:sz w:val="28"/>
          <w:szCs w:val="28"/>
        </w:rPr>
      </w:pPr>
      <w:bookmarkStart w:id="10" w:name="_Toc197483586"/>
      <w:r w:rsidRPr="0013322B">
        <w:rPr>
          <w:rFonts w:ascii="Proxima Nova Rg" w:hAnsi="Proxima Nova Rg" w:cstheme="minorHAnsi"/>
          <w:sz w:val="28"/>
          <w:szCs w:val="28"/>
        </w:rPr>
        <w:t>Prevalence/attitudinal research</w:t>
      </w:r>
      <w:bookmarkEnd w:id="10"/>
      <w:r w:rsidRPr="0013322B">
        <w:rPr>
          <w:rFonts w:ascii="Proxima Nova Rg" w:hAnsi="Proxima Nova Rg" w:cstheme="minorHAnsi"/>
          <w:sz w:val="28"/>
          <w:szCs w:val="28"/>
        </w:rPr>
        <w:t xml:space="preserve"> in the last ten years</w:t>
      </w:r>
    </w:p>
    <w:p w14:paraId="79C2DAB0" w14:textId="77777777" w:rsidR="003C7388" w:rsidRPr="00243912" w:rsidRDefault="003C7388" w:rsidP="003C7388">
      <w:pPr>
        <w:spacing w:after="60"/>
        <w:rPr>
          <w:rFonts w:ascii="Proxima Nova Rg" w:eastAsia="Calibri" w:hAnsi="Proxima Nova Rg" w:cstheme="minorHAnsi"/>
          <w:sz w:val="22"/>
          <w:szCs w:val="22"/>
          <w:lang w:val="en-US" w:eastAsia="en-GB"/>
        </w:rPr>
      </w:pPr>
      <w:r w:rsidRPr="00243912">
        <w:rPr>
          <w:rFonts w:ascii="Proxima Nova Rg" w:eastAsia="Calibri" w:hAnsi="Proxima Nova Rg" w:cstheme="minorHAnsi"/>
          <w:sz w:val="22"/>
          <w:szCs w:val="22"/>
          <w:lang w:val="en-US" w:eastAsia="en-GB"/>
        </w:rPr>
        <w:t>A report based on the sworn testimony of 311 children held in Israeli military detention between January 2008 and January 2012 documented systematic ill-treatment of children during their arrest, transfer and interrogation. Sixty-three per cent of the children were detained inside Israel. Ninety-five per cent had their hands tied, often very painfully, and 90% were blindfolded. Three quarters experienced physical violence such as being pushed, slapped or kicked, 57% experienced threats and 54% verbal violence. In 12% of cases children reported being held in solitary confinement for an average period of 11 days. The report found that when all the evidence was considered, the pattern of systematic ill-treatment which emerged amounts to cruel, inhuman or degrading treatment or punishment and in some cases torture as defined in the UN Convention against Torture.</w:t>
      </w:r>
    </w:p>
    <w:p w14:paraId="434C7A8A" w14:textId="654EBEF9" w:rsidR="003C7388" w:rsidRDefault="003C7388" w:rsidP="003C7388">
      <w:pPr>
        <w:spacing w:after="240"/>
        <w:jc w:val="right"/>
        <w:rPr>
          <w:rFonts w:ascii="Proxima Nova Rg" w:eastAsia="Calibri" w:hAnsi="Proxima Nova Rg" w:cstheme="minorHAnsi"/>
          <w:iCs/>
          <w:sz w:val="20"/>
          <w:szCs w:val="20"/>
          <w:lang w:val="en-US" w:eastAsia="en-GB"/>
        </w:rPr>
      </w:pPr>
      <w:r w:rsidRPr="0013322B">
        <w:rPr>
          <w:rFonts w:ascii="Proxima Nova Rg" w:eastAsia="Calibri" w:hAnsi="Proxima Nova Rg" w:cstheme="minorHAnsi"/>
          <w:sz w:val="20"/>
          <w:szCs w:val="20"/>
          <w:lang w:val="en-US" w:eastAsia="en-GB"/>
        </w:rPr>
        <w:t xml:space="preserve">(DCI Palestine (2012), </w:t>
      </w:r>
      <w:r w:rsidRPr="0013322B">
        <w:rPr>
          <w:rFonts w:ascii="Proxima Nova Rg" w:eastAsia="Calibri" w:hAnsi="Proxima Nova Rg" w:cstheme="minorHAnsi"/>
          <w:i/>
          <w:iCs/>
          <w:sz w:val="20"/>
          <w:szCs w:val="20"/>
          <w:lang w:val="en-US" w:eastAsia="en-GB"/>
        </w:rPr>
        <w:t>Bound, Blindfolded and Convicted: Children held in military detention</w:t>
      </w:r>
      <w:r w:rsidRPr="0013322B">
        <w:rPr>
          <w:rFonts w:ascii="Proxima Nova Rg" w:eastAsia="Calibri" w:hAnsi="Proxima Nova Rg" w:cstheme="minorHAnsi"/>
          <w:iCs/>
          <w:sz w:val="20"/>
          <w:szCs w:val="20"/>
          <w:lang w:val="en-US" w:eastAsia="en-GB"/>
        </w:rPr>
        <w:t>)</w:t>
      </w:r>
    </w:p>
    <w:p w14:paraId="71A8F371" w14:textId="77777777" w:rsidR="007E393D" w:rsidRDefault="007E393D" w:rsidP="007E393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E393D" w:rsidRPr="00C42807" w14:paraId="29FA4A55" w14:textId="77777777" w:rsidTr="0065146B">
        <w:tc>
          <w:tcPr>
            <w:tcW w:w="9922" w:type="dxa"/>
            <w:vAlign w:val="center"/>
          </w:tcPr>
          <w:p w14:paraId="79902577" w14:textId="77777777" w:rsidR="007E393D" w:rsidRPr="00C42807" w:rsidRDefault="007E393D"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02025B5A" w14:textId="77777777" w:rsidR="007E393D" w:rsidRDefault="007E393D" w:rsidP="007E393D"/>
    <w:p w14:paraId="19013073" w14:textId="77777777" w:rsidR="00243912" w:rsidRPr="0013322B" w:rsidRDefault="00243912" w:rsidP="003C7388">
      <w:pPr>
        <w:spacing w:after="240"/>
        <w:jc w:val="right"/>
        <w:rPr>
          <w:rFonts w:ascii="Proxima Nova Rg" w:hAnsi="Proxima Nova Rg" w:cstheme="minorHAnsi"/>
          <w:sz w:val="20"/>
          <w:szCs w:val="20"/>
        </w:rPr>
      </w:pPr>
    </w:p>
    <w:p w14:paraId="54008309" w14:textId="64C52254" w:rsidR="00C25080" w:rsidRPr="0013322B" w:rsidRDefault="00C25080" w:rsidP="003C7388">
      <w:pPr>
        <w:spacing w:after="60"/>
        <w:rPr>
          <w:rFonts w:ascii="Proxima Nova Rg" w:eastAsia="Calibri" w:hAnsi="Proxima Nova Rg" w:cstheme="minorHAnsi"/>
          <w:sz w:val="20"/>
          <w:szCs w:val="20"/>
          <w:lang w:eastAsia="en-GB"/>
        </w:rPr>
      </w:pPr>
    </w:p>
    <w:sectPr w:rsidR="00C25080" w:rsidRPr="0013322B" w:rsidSect="00984204">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D20C" w14:textId="77777777" w:rsidR="00F46B74" w:rsidRDefault="00F46B74" w:rsidP="00323C9D">
      <w:r>
        <w:separator/>
      </w:r>
    </w:p>
    <w:p w14:paraId="0EAC0E06" w14:textId="77777777" w:rsidR="00F46B74" w:rsidRDefault="00F46B74"/>
  </w:endnote>
  <w:endnote w:type="continuationSeparator" w:id="0">
    <w:p w14:paraId="71B24C45" w14:textId="77777777" w:rsidR="00F46B74" w:rsidRDefault="00F46B74" w:rsidP="00323C9D">
      <w:r>
        <w:continuationSeparator/>
      </w:r>
    </w:p>
    <w:p w14:paraId="6024DF30" w14:textId="77777777" w:rsidR="00F46B74" w:rsidRDefault="00F46B74"/>
  </w:endnote>
  <w:endnote w:type="continuationNotice" w:id="1">
    <w:p w14:paraId="0238843A" w14:textId="77777777" w:rsidR="00F46B74" w:rsidRDefault="00F46B74"/>
    <w:p w14:paraId="4D35577F" w14:textId="77777777" w:rsidR="00F46B74" w:rsidRDefault="00F46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6EC0BD4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197C8D">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969F0" w14:textId="77777777" w:rsidR="00F46B74" w:rsidRDefault="00F46B74" w:rsidP="00323C9D">
      <w:r>
        <w:separator/>
      </w:r>
    </w:p>
    <w:p w14:paraId="1B61D2D0" w14:textId="77777777" w:rsidR="00F46B74" w:rsidRDefault="00F46B74"/>
  </w:footnote>
  <w:footnote w:type="continuationSeparator" w:id="0">
    <w:p w14:paraId="65547AC2" w14:textId="77777777" w:rsidR="00F46B74" w:rsidRDefault="00F46B74" w:rsidP="00323C9D">
      <w:r>
        <w:continuationSeparator/>
      </w:r>
    </w:p>
    <w:p w14:paraId="74F6426F" w14:textId="77777777" w:rsidR="00F46B74" w:rsidRDefault="00F46B74"/>
  </w:footnote>
  <w:footnote w:type="continuationNotice" w:id="1">
    <w:p w14:paraId="3BBD0789" w14:textId="77777777" w:rsidR="00F46B74" w:rsidRDefault="00F46B74"/>
    <w:p w14:paraId="5DD6D634" w14:textId="77777777" w:rsidR="00F46B74" w:rsidRDefault="00F46B74"/>
  </w:footnote>
  <w:footnote w:id="2">
    <w:p w14:paraId="393E849D" w14:textId="77777777" w:rsidR="003C7388" w:rsidRPr="00197C8D" w:rsidRDefault="003C7388" w:rsidP="003C7388">
      <w:pPr>
        <w:pStyle w:val="FootnoteText"/>
        <w:rPr>
          <w:rFonts w:ascii="Proxima Nova Rg" w:hAnsi="Proxima Nova Rg"/>
          <w:sz w:val="18"/>
          <w:szCs w:val="18"/>
          <w:lang w:val="en-US"/>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Criminal Appeal 4596/98 </w:t>
      </w:r>
      <w:r w:rsidRPr="00197C8D">
        <w:rPr>
          <w:rFonts w:ascii="Proxima Nova Rg" w:hAnsi="Proxima Nova Rg"/>
          <w:i/>
          <w:sz w:val="18"/>
          <w:szCs w:val="18"/>
        </w:rPr>
        <w:t>Plonit v A. G.</w:t>
      </w:r>
      <w:r w:rsidRPr="00197C8D">
        <w:rPr>
          <w:rFonts w:ascii="Proxima Nova Rg" w:hAnsi="Proxima Nova Rg"/>
          <w:sz w:val="18"/>
          <w:szCs w:val="18"/>
        </w:rPr>
        <w:t xml:space="preserve"> 54(1) P. D. p.145</w:t>
      </w:r>
    </w:p>
  </w:footnote>
  <w:footnote w:id="3">
    <w:p w14:paraId="2E72515B" w14:textId="77777777" w:rsidR="003C7388" w:rsidRPr="003C7388" w:rsidRDefault="003C7388" w:rsidP="003C7388">
      <w:pPr>
        <w:pStyle w:val="FootnoteText"/>
        <w:rPr>
          <w:rFonts w:asciiTheme="minorHAnsi" w:hAnsiTheme="minorHAnsi"/>
          <w:lang w:val="en-US"/>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For example Cr.C 40362/05 </w:t>
      </w:r>
      <w:r w:rsidRPr="00197C8D">
        <w:rPr>
          <w:rFonts w:ascii="Proxima Nova Rg" w:hAnsi="Proxima Nova Rg"/>
          <w:i/>
          <w:iCs/>
          <w:sz w:val="18"/>
          <w:szCs w:val="18"/>
        </w:rPr>
        <w:t>The State of Israel v. Onimaya Theodor</w:t>
      </w:r>
      <w:r w:rsidRPr="00197C8D">
        <w:rPr>
          <w:rFonts w:ascii="Proxima Nova Rg" w:hAnsi="Proxima Nova Rg"/>
          <w:iCs/>
          <w:sz w:val="18"/>
          <w:szCs w:val="18"/>
        </w:rPr>
        <w:t xml:space="preserve"> </w:t>
      </w:r>
      <w:r w:rsidRPr="00197C8D">
        <w:rPr>
          <w:rFonts w:ascii="Proxima Nova Rg" w:hAnsi="Proxima Nova Rg"/>
          <w:sz w:val="18"/>
          <w:szCs w:val="18"/>
        </w:rPr>
        <w:t xml:space="preserve">(04.07.2006), Cr.A (Be’er-Sheva) 7161/02 </w:t>
      </w:r>
      <w:r w:rsidRPr="00197C8D">
        <w:rPr>
          <w:rFonts w:ascii="Proxima Nova Rg" w:hAnsi="Proxima Nova Rg"/>
          <w:i/>
          <w:iCs/>
          <w:sz w:val="18"/>
          <w:szCs w:val="18"/>
        </w:rPr>
        <w:t>The State of Israel v. Z.Y.</w:t>
      </w:r>
      <w:r w:rsidRPr="00197C8D">
        <w:rPr>
          <w:rFonts w:ascii="Proxima Nova Rg" w:hAnsi="Proxima Nova Rg"/>
          <w:iCs/>
          <w:sz w:val="18"/>
          <w:szCs w:val="18"/>
        </w:rPr>
        <w:t xml:space="preserve"> </w:t>
      </w:r>
      <w:r w:rsidRPr="00197C8D">
        <w:rPr>
          <w:rFonts w:ascii="Proxima Nova Rg" w:hAnsi="Proxima Nova Rg"/>
          <w:sz w:val="18"/>
          <w:szCs w:val="18"/>
        </w:rPr>
        <w:t xml:space="preserve">(12.2.2003), Cr.C (Ashkelon) 1414/06 </w:t>
      </w:r>
      <w:r w:rsidRPr="00197C8D">
        <w:rPr>
          <w:rFonts w:ascii="Proxima Nova Rg" w:hAnsi="Proxima Nova Rg"/>
          <w:i/>
          <w:iCs/>
          <w:sz w:val="18"/>
          <w:szCs w:val="18"/>
        </w:rPr>
        <w:t>The State of Israel v. Zur Yehoshua</w:t>
      </w:r>
      <w:r w:rsidRPr="00197C8D">
        <w:rPr>
          <w:rFonts w:ascii="Proxima Nova Rg" w:hAnsi="Proxima Nova Rg"/>
          <w:iCs/>
          <w:sz w:val="18"/>
          <w:szCs w:val="18"/>
        </w:rPr>
        <w:t xml:space="preserve"> </w:t>
      </w:r>
      <w:r w:rsidRPr="00197C8D">
        <w:rPr>
          <w:rFonts w:ascii="Proxima Nova Rg" w:hAnsi="Proxima Nova Rg"/>
          <w:sz w:val="18"/>
          <w:szCs w:val="18"/>
        </w:rPr>
        <w:t>(9.9.2007)</w:t>
      </w:r>
    </w:p>
  </w:footnote>
  <w:footnote w:id="4">
    <w:p w14:paraId="72A7CD1F" w14:textId="77777777" w:rsidR="003C7388" w:rsidRPr="00197C8D" w:rsidRDefault="003C7388" w:rsidP="003C7388">
      <w:pPr>
        <w:pStyle w:val="FootnoteText"/>
        <w:rPr>
          <w:rFonts w:ascii="Proxima Nova Rg" w:hAnsi="Proxima Nova Rg"/>
          <w:sz w:val="18"/>
          <w:szCs w:val="18"/>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w:t>
      </w:r>
      <w:r w:rsidRPr="00197C8D">
        <w:rPr>
          <w:rFonts w:ascii="Proxima Nova Rg" w:eastAsia="Calibri" w:hAnsi="Proxima Nova Rg"/>
          <w:sz w:val="18"/>
          <w:szCs w:val="18"/>
          <w:lang w:val="en-US"/>
        </w:rPr>
        <w:t>16 February 2015, CAT/C/ISR/5, Fifth state party report, para. 441</w:t>
      </w:r>
    </w:p>
  </w:footnote>
  <w:footnote w:id="5">
    <w:p w14:paraId="49FBC36A" w14:textId="77777777" w:rsidR="003C7388" w:rsidRPr="00197C8D" w:rsidRDefault="003C7388" w:rsidP="003C7388">
      <w:pPr>
        <w:pStyle w:val="FootnoteText"/>
        <w:rPr>
          <w:rFonts w:ascii="Proxima Nova Rg" w:hAnsi="Proxima Nova Rg"/>
          <w:sz w:val="18"/>
          <w:szCs w:val="18"/>
          <w:lang w:val="en-US"/>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w:t>
      </w:r>
      <w:r w:rsidRPr="00197C8D">
        <w:rPr>
          <w:rFonts w:ascii="Proxima Nova Rg" w:hAnsi="Proxima Nova Rg"/>
          <w:i/>
          <w:sz w:val="18"/>
          <w:szCs w:val="18"/>
        </w:rPr>
        <w:t>The State of Israel v Alagani</w:t>
      </w:r>
    </w:p>
  </w:footnote>
  <w:footnote w:id="6">
    <w:p w14:paraId="5A84A57A" w14:textId="77777777" w:rsidR="003C7388" w:rsidRPr="00197C8D" w:rsidRDefault="003C7388" w:rsidP="003C7388">
      <w:pPr>
        <w:pStyle w:val="FootnoteText"/>
        <w:rPr>
          <w:rFonts w:ascii="Proxima Nova Rg" w:hAnsi="Proxima Nova Rg"/>
          <w:sz w:val="18"/>
          <w:szCs w:val="18"/>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w:t>
      </w:r>
      <w:r w:rsidRPr="00197C8D">
        <w:rPr>
          <w:rFonts w:ascii="Proxima Nova Rg" w:eastAsia="Calibri" w:hAnsi="Proxima Nova Rg"/>
          <w:sz w:val="18"/>
          <w:szCs w:val="18"/>
          <w:lang w:val="en-US"/>
        </w:rPr>
        <w:t>16 February 2015, CAT/C/ISR/5, Fifth state party report, para. 441</w:t>
      </w:r>
    </w:p>
  </w:footnote>
  <w:footnote w:id="7">
    <w:p w14:paraId="2DCD2FB5" w14:textId="77777777" w:rsidR="003C7388" w:rsidRPr="003C7388" w:rsidRDefault="003C7388" w:rsidP="003C7388">
      <w:pPr>
        <w:pStyle w:val="FootnoteText"/>
        <w:rPr>
          <w:rFonts w:asciiTheme="minorHAnsi" w:hAnsiTheme="minorHAnsi"/>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ibid.</w:t>
      </w:r>
    </w:p>
  </w:footnote>
  <w:footnote w:id="8">
    <w:p w14:paraId="68D7763F" w14:textId="77777777" w:rsidR="003C7388" w:rsidRPr="00197C8D" w:rsidRDefault="003C7388" w:rsidP="003C7388">
      <w:pPr>
        <w:pStyle w:val="FootnoteText"/>
        <w:rPr>
          <w:rFonts w:ascii="Proxima Nova Rg" w:hAnsi="Proxima Nova Rg"/>
          <w:sz w:val="18"/>
          <w:szCs w:val="18"/>
          <w:lang w:val="en-US"/>
        </w:rPr>
      </w:pPr>
      <w:bookmarkStart w:id="1" w:name="_GoBack"/>
      <w:r w:rsidRPr="00197C8D">
        <w:rPr>
          <w:rStyle w:val="FootnoteReference"/>
          <w:rFonts w:ascii="Proxima Nova Rg" w:hAnsi="Proxima Nova Rg"/>
          <w:sz w:val="18"/>
          <w:szCs w:val="18"/>
        </w:rPr>
        <w:footnoteRef/>
      </w:r>
      <w:r w:rsidRPr="00197C8D">
        <w:rPr>
          <w:rFonts w:ascii="Proxima Nova Rg" w:hAnsi="Proxima Nova Rg"/>
          <w:sz w:val="18"/>
          <w:szCs w:val="18"/>
        </w:rPr>
        <w:t xml:space="preserve"> 25 September 2008, A/HRC/WG.6/3/ISR/1, National report, paras. 68, 69 and 70</w:t>
      </w:r>
    </w:p>
  </w:footnote>
  <w:footnote w:id="9">
    <w:p w14:paraId="2CE03132" w14:textId="77777777" w:rsidR="003C7388" w:rsidRPr="00197C8D" w:rsidRDefault="003C7388" w:rsidP="003C7388">
      <w:pPr>
        <w:pStyle w:val="FootnoteText"/>
        <w:rPr>
          <w:rFonts w:ascii="Proxima Nova Rg" w:hAnsi="Proxima Nova Rg"/>
          <w:sz w:val="18"/>
          <w:szCs w:val="18"/>
          <w:lang w:val="en-US"/>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8 January 2009, A/HRC/10/76, Report of the working group, paras. 21 and 83</w:t>
      </w:r>
    </w:p>
  </w:footnote>
  <w:footnote w:id="10">
    <w:p w14:paraId="2FCC0AA1" w14:textId="77777777" w:rsidR="003C7388" w:rsidRPr="00197C8D" w:rsidRDefault="003C7388" w:rsidP="003C7388">
      <w:pPr>
        <w:pStyle w:val="FootnoteText"/>
        <w:rPr>
          <w:rFonts w:ascii="Proxima Nova Rg" w:hAnsi="Proxima Nova Rg"/>
          <w:sz w:val="18"/>
          <w:szCs w:val="18"/>
          <w:lang w:val="en-US"/>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8 January 2009, A/HRC/10/76, Report of the working group, paras. 100(37) and 100(45)</w:t>
      </w:r>
    </w:p>
  </w:footnote>
  <w:footnote w:id="11">
    <w:p w14:paraId="41C0968F" w14:textId="77777777" w:rsidR="003C7388" w:rsidRPr="003C7388" w:rsidRDefault="003C7388" w:rsidP="003C7388">
      <w:pPr>
        <w:pStyle w:val="FootnoteText"/>
        <w:rPr>
          <w:rFonts w:asciiTheme="minorHAnsi" w:hAnsiTheme="minorHAnsi"/>
          <w:lang w:val="en-US"/>
        </w:rPr>
      </w:pPr>
      <w:r w:rsidRPr="00197C8D">
        <w:rPr>
          <w:rStyle w:val="FootnoteReference"/>
          <w:rFonts w:ascii="Proxima Nova Rg" w:hAnsi="Proxima Nova Rg"/>
          <w:sz w:val="18"/>
          <w:szCs w:val="18"/>
        </w:rPr>
        <w:footnoteRef/>
      </w:r>
      <w:r w:rsidRPr="00197C8D">
        <w:rPr>
          <w:rFonts w:ascii="Proxima Nova Rg" w:hAnsi="Proxima Nova Rg"/>
          <w:sz w:val="18"/>
          <w:szCs w:val="18"/>
        </w:rPr>
        <w:t xml:space="preserve"> 9 November 2009, A/HRC/10/29, Report of the Human Rights Council on its tenth session, para. 461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23C2D" w14:textId="08E47CEF" w:rsidR="00984204" w:rsidRDefault="00984204">
    <w:pPr>
      <w:pStyle w:val="Header"/>
    </w:pPr>
  </w:p>
  <w:p w14:paraId="7E2EA4E5" w14:textId="77777777" w:rsidR="00984204" w:rsidRDefault="009842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5AAB9" w14:textId="3CC3EC49" w:rsidR="00984204" w:rsidRDefault="00984204">
    <w:pPr>
      <w:pStyle w:val="Header"/>
    </w:pPr>
    <w:r>
      <w:rPr>
        <w:noProof/>
        <w:lang w:eastAsia="en-GB"/>
      </w:rPr>
      <w:drawing>
        <wp:anchor distT="0" distB="0" distL="114300" distR="114300" simplePos="0" relativeHeight="251659264" behindDoc="0" locked="0" layoutInCell="1" allowOverlap="1" wp14:anchorId="434C90EC" wp14:editId="1D04E61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322B"/>
    <w:rsid w:val="001356B5"/>
    <w:rsid w:val="00142C16"/>
    <w:rsid w:val="00172037"/>
    <w:rsid w:val="00175ECF"/>
    <w:rsid w:val="00197C8D"/>
    <w:rsid w:val="001A06FE"/>
    <w:rsid w:val="001A14CD"/>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43912"/>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7388"/>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93D"/>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84204"/>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E69EB"/>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21F35"/>
    <w:rsid w:val="00D2316F"/>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05F2"/>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6B74"/>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5_G Char,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5D"/>
    <w:rsid w:val="00697E63"/>
    <w:rsid w:val="00CE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5443A1EF1748A195A10511CFBA05D8">
    <w:name w:val="AA5443A1EF1748A195A10511CFBA05D8"/>
    <w:rsid w:val="00CE1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0CB25-F96F-43A7-AD06-183075CF8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2989C43-47A8-44DD-8859-F6381D37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2014-10-30T23:06:00Z</cp:lastPrinted>
  <dcterms:created xsi:type="dcterms:W3CDTF">2021-07-23T15:58:00Z</dcterms:created>
  <dcterms:modified xsi:type="dcterms:W3CDTF">2021-07-23T20:02:00Z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